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F856C">
      <w:pPr>
        <w:spacing w:after="160" w:line="360" w:lineRule="auto"/>
        <w:ind w:firstLine="1807" w:firstLineChars="500"/>
        <w:rPr>
          <w:rFonts w:hint="eastAsia" w:ascii="宋体" w:hAnsi="宋体"/>
          <w:b/>
          <w:sz w:val="36"/>
          <w:szCs w:val="36"/>
          <w:highlight w:val="none"/>
        </w:rPr>
      </w:pPr>
      <w:r>
        <w:rPr>
          <w:rFonts w:hint="eastAsia" w:ascii="宋体" w:hAnsi="宋体"/>
          <w:b/>
          <w:sz w:val="36"/>
          <w:szCs w:val="36"/>
          <w:highlight w:val="none"/>
        </w:rPr>
        <w:t>项目</w:t>
      </w:r>
      <w:r>
        <w:rPr>
          <w:rFonts w:ascii="宋体" w:hAnsi="宋体"/>
          <w:b/>
          <w:sz w:val="36"/>
          <w:szCs w:val="36"/>
          <w:highlight w:val="none"/>
        </w:rPr>
        <w:t>编号：</w:t>
      </w:r>
      <w:permStart w:id="0" w:edGrp="everyone"/>
      <w:bookmarkStart w:id="938" w:name="_GoBack"/>
      <w:bookmarkEnd w:id="938"/>
      <w:r>
        <w:rPr>
          <w:rFonts w:hint="eastAsia"/>
          <w:sz w:val="36"/>
          <w:szCs w:val="36"/>
          <w:highlight w:val="none"/>
          <w:lang w:eastAsia="zh-CN"/>
        </w:rPr>
        <w:t>YYCG[2025]022-1</w:t>
      </w:r>
      <w:permEnd w:id="0"/>
      <w:r>
        <w:rPr>
          <w:rFonts w:hint="eastAsia" w:ascii="宋体" w:hAnsi="宋体"/>
          <w:b/>
          <w:sz w:val="36"/>
          <w:szCs w:val="36"/>
          <w:highlight w:val="none"/>
        </w:rPr>
        <w:t>号</w:t>
      </w:r>
    </w:p>
    <w:p w14:paraId="138E0D4C">
      <w:pPr>
        <w:spacing w:after="160" w:line="360" w:lineRule="auto"/>
        <w:rPr>
          <w:rFonts w:ascii="宋体" w:hAnsi="宋体"/>
          <w:b/>
          <w:sz w:val="36"/>
          <w:szCs w:val="36"/>
          <w:highlight w:val="none"/>
        </w:rPr>
      </w:pPr>
    </w:p>
    <w:p w14:paraId="4185C77F">
      <w:pPr>
        <w:spacing w:after="160" w:line="360" w:lineRule="auto"/>
        <w:rPr>
          <w:rFonts w:ascii="宋体" w:hAnsi="宋体"/>
          <w:b/>
          <w:sz w:val="48"/>
          <w:szCs w:val="48"/>
          <w:highlight w:val="none"/>
        </w:rPr>
      </w:pPr>
    </w:p>
    <w:p w14:paraId="4FB38DD3">
      <w:pPr>
        <w:spacing w:after="160" w:line="360" w:lineRule="auto"/>
        <w:jc w:val="center"/>
        <w:rPr>
          <w:rFonts w:hint="eastAsia" w:ascii="宋体" w:hAnsi="宋体" w:eastAsia="宋体"/>
          <w:b/>
          <w:sz w:val="48"/>
          <w:szCs w:val="48"/>
          <w:highlight w:val="none"/>
          <w:lang w:val="en-US" w:eastAsia="zh-CN"/>
        </w:rPr>
      </w:pPr>
      <w:permStart w:id="1" w:edGrp="everyone"/>
      <w:r>
        <w:rPr>
          <w:rFonts w:hint="eastAsia"/>
          <w:b/>
          <w:sz w:val="52"/>
          <w:szCs w:val="52"/>
        </w:rPr>
        <w:t>202</w:t>
      </w:r>
      <w:r>
        <w:rPr>
          <w:rFonts w:hint="eastAsia"/>
          <w:b/>
          <w:sz w:val="52"/>
          <w:szCs w:val="52"/>
          <w:lang w:val="en-US" w:eastAsia="zh-CN"/>
        </w:rPr>
        <w:t>6</w:t>
      </w:r>
      <w:r>
        <w:rPr>
          <w:rFonts w:hint="eastAsia"/>
          <w:b/>
          <w:sz w:val="52"/>
          <w:szCs w:val="52"/>
        </w:rPr>
        <w:t>年</w:t>
      </w:r>
      <w:r>
        <w:rPr>
          <w:rFonts w:hint="eastAsia"/>
          <w:b/>
          <w:sz w:val="52"/>
          <w:szCs w:val="52"/>
          <w:lang w:eastAsia="zh-CN"/>
        </w:rPr>
        <w:t>法律服务</w:t>
      </w:r>
      <w:r>
        <w:rPr>
          <w:rFonts w:hint="eastAsia"/>
          <w:b/>
          <w:sz w:val="52"/>
          <w:szCs w:val="52"/>
        </w:rPr>
        <w:t>采购</w:t>
      </w:r>
      <w:r>
        <w:rPr>
          <w:rFonts w:hint="eastAsia"/>
          <w:b/>
          <w:sz w:val="52"/>
          <w:szCs w:val="52"/>
          <w:lang w:eastAsia="zh-CN"/>
        </w:rPr>
        <w:t>（</w:t>
      </w:r>
      <w:r>
        <w:rPr>
          <w:rFonts w:hint="eastAsia"/>
          <w:b/>
          <w:sz w:val="52"/>
          <w:szCs w:val="52"/>
          <w:lang w:val="en-US" w:eastAsia="zh-CN"/>
        </w:rPr>
        <w:t>第二次</w:t>
      </w:r>
      <w:r>
        <w:rPr>
          <w:rFonts w:hint="eastAsia"/>
          <w:b/>
          <w:sz w:val="52"/>
          <w:szCs w:val="52"/>
          <w:lang w:eastAsia="zh-CN"/>
        </w:rPr>
        <w:t>）</w:t>
      </w:r>
    </w:p>
    <w:permEnd w:id="1"/>
    <w:p w14:paraId="3A981AF0">
      <w:pPr>
        <w:spacing w:after="160" w:line="360" w:lineRule="auto"/>
        <w:jc w:val="center"/>
        <w:rPr>
          <w:rFonts w:ascii="宋体" w:hAnsi="宋体"/>
          <w:b/>
          <w:sz w:val="36"/>
          <w:szCs w:val="36"/>
          <w:highlight w:val="none"/>
        </w:rPr>
      </w:pPr>
    </w:p>
    <w:p w14:paraId="68CB52F7">
      <w:pPr>
        <w:spacing w:after="160" w:line="360" w:lineRule="auto"/>
        <w:jc w:val="center"/>
        <w:rPr>
          <w:rFonts w:ascii="宋体" w:hAnsi="宋体"/>
          <w:b/>
          <w:sz w:val="36"/>
          <w:szCs w:val="36"/>
          <w:highlight w:val="none"/>
        </w:rPr>
      </w:pPr>
    </w:p>
    <w:p w14:paraId="4248FF5B">
      <w:pPr>
        <w:spacing w:after="160" w:line="360" w:lineRule="auto"/>
        <w:jc w:val="center"/>
        <w:rPr>
          <w:rFonts w:ascii="宋体" w:hAnsi="宋体"/>
          <w:b/>
          <w:sz w:val="84"/>
          <w:szCs w:val="84"/>
          <w:highlight w:val="none"/>
        </w:rPr>
      </w:pPr>
      <w:r>
        <w:rPr>
          <w:rFonts w:ascii="宋体" w:hAnsi="宋体"/>
          <w:b/>
          <w:sz w:val="84"/>
          <w:szCs w:val="84"/>
          <w:highlight w:val="none"/>
        </w:rPr>
        <w:t>竞争性磋商文件</w:t>
      </w:r>
    </w:p>
    <w:p w14:paraId="1AE2BB1F">
      <w:pPr>
        <w:spacing w:after="160" w:line="360" w:lineRule="auto"/>
        <w:jc w:val="center"/>
        <w:rPr>
          <w:rFonts w:ascii="宋体" w:hAnsi="宋体"/>
          <w:b/>
          <w:sz w:val="36"/>
          <w:szCs w:val="36"/>
          <w:highlight w:val="none"/>
        </w:rPr>
      </w:pPr>
    </w:p>
    <w:p w14:paraId="67C2E597">
      <w:pPr>
        <w:spacing w:after="160" w:line="360" w:lineRule="auto"/>
        <w:jc w:val="center"/>
        <w:rPr>
          <w:rFonts w:ascii="宋体" w:hAnsi="宋体"/>
          <w:b/>
          <w:sz w:val="36"/>
          <w:szCs w:val="36"/>
          <w:highlight w:val="none"/>
        </w:rPr>
      </w:pPr>
    </w:p>
    <w:p w14:paraId="3AF9AACC">
      <w:pPr>
        <w:spacing w:after="160" w:line="360" w:lineRule="auto"/>
        <w:jc w:val="center"/>
        <w:rPr>
          <w:rFonts w:ascii="宋体" w:hAnsi="宋体"/>
          <w:b/>
          <w:sz w:val="36"/>
          <w:szCs w:val="36"/>
          <w:highlight w:val="none"/>
        </w:rPr>
      </w:pPr>
    </w:p>
    <w:p w14:paraId="577EB01C">
      <w:pPr>
        <w:spacing w:after="160" w:line="360" w:lineRule="auto"/>
        <w:jc w:val="center"/>
        <w:rPr>
          <w:rFonts w:ascii="宋体" w:hAnsi="宋体"/>
          <w:b/>
          <w:sz w:val="36"/>
          <w:szCs w:val="36"/>
          <w:highlight w:val="none"/>
        </w:rPr>
      </w:pPr>
    </w:p>
    <w:p w14:paraId="5D085B70">
      <w:pPr>
        <w:pStyle w:val="26"/>
        <w:spacing w:line="360" w:lineRule="auto"/>
        <w:jc w:val="center"/>
        <w:outlineLvl w:val="9"/>
        <w:rPr>
          <w:rFonts w:hint="default" w:ascii="宋体" w:hAnsi="宋体" w:eastAsia="宋体"/>
          <w:color w:val="auto"/>
          <w:sz w:val="32"/>
          <w:szCs w:val="32"/>
          <w:highlight w:val="none"/>
          <w:lang w:val="en-US" w:eastAsia="zh-CN"/>
        </w:rPr>
      </w:pPr>
      <w:r>
        <w:rPr>
          <w:rFonts w:ascii="宋体" w:hAnsi="宋体"/>
          <w:bCs/>
          <w:color w:val="auto"/>
          <w:sz w:val="32"/>
          <w:szCs w:val="32"/>
          <w:highlight w:val="none"/>
        </w:rPr>
        <w:t>采购人</w:t>
      </w:r>
      <w:r>
        <w:rPr>
          <w:rFonts w:ascii="宋体" w:hAnsi="宋体"/>
          <w:color w:val="auto"/>
          <w:sz w:val="32"/>
          <w:szCs w:val="32"/>
          <w:highlight w:val="none"/>
        </w:rPr>
        <w:t>：</w:t>
      </w:r>
      <w:bookmarkStart w:id="0" w:name="_Toc2549"/>
      <w:bookmarkStart w:id="1" w:name="_Toc19631"/>
      <w:bookmarkStart w:id="2" w:name="_Toc21758"/>
      <w:bookmarkStart w:id="3" w:name="_Toc21246"/>
      <w:bookmarkStart w:id="4" w:name="_Toc7558"/>
      <w:bookmarkStart w:id="5" w:name="_Toc15987"/>
      <w:bookmarkStart w:id="6" w:name="_Toc17815"/>
      <w:bookmarkStart w:id="7" w:name="_Toc7082"/>
      <w:bookmarkStart w:id="8" w:name="_Toc8277"/>
      <w:bookmarkStart w:id="9" w:name="_Toc15713"/>
      <w:bookmarkStart w:id="10" w:name="_Toc24306"/>
      <w:bookmarkStart w:id="11" w:name="_Toc23754"/>
      <w:bookmarkStart w:id="12" w:name="_Toc24077"/>
      <w:bookmarkStart w:id="13" w:name="_Toc7873"/>
      <w:bookmarkStart w:id="14" w:name="_Toc3516"/>
      <w:bookmarkStart w:id="15" w:name="_Toc19617"/>
      <w:bookmarkStart w:id="16" w:name="_Toc29826"/>
      <w:bookmarkStart w:id="17" w:name="_Toc14623"/>
      <w:bookmarkStart w:id="18" w:name="_Toc13526"/>
      <w:bookmarkStart w:id="19" w:name="_Toc3095"/>
      <w:bookmarkStart w:id="20" w:name="_Toc961"/>
      <w:permStart w:id="2" w:edGrp="everyone"/>
      <w:r>
        <w:rPr>
          <w:rFonts w:hint="eastAsia" w:ascii="Times New Roman"/>
          <w:b w:val="0"/>
          <w:bCs w:val="0"/>
          <w:color w:val="auto"/>
          <w:sz w:val="24"/>
          <w:lang w:eastAsia="zh-CN"/>
        </w:rPr>
        <w:t>泸州裕阳投资发展有限公司</w:t>
      </w:r>
    </w:p>
    <w:p w14:paraId="137D1018">
      <w:pPr>
        <w:pStyle w:val="26"/>
        <w:spacing w:line="360" w:lineRule="auto"/>
        <w:jc w:val="center"/>
        <w:outlineLvl w:val="9"/>
        <w:rPr>
          <w:rFonts w:hint="eastAsia" w:ascii="宋体" w:hAnsi="宋体"/>
          <w:color w:val="auto"/>
          <w:sz w:val="32"/>
          <w:szCs w:val="32"/>
          <w:highlight w:val="none"/>
        </w:rPr>
      </w:pPr>
      <w:r>
        <w:rPr>
          <w:rFonts w:hint="eastAsia" w:ascii="宋体" w:hAnsi="宋体" w:eastAsia="宋体"/>
          <w:color w:val="auto"/>
          <w:sz w:val="32"/>
          <w:szCs w:val="32"/>
          <w:highlight w:val="none"/>
          <w:lang w:val="en-US" w:eastAsia="zh-CN"/>
        </w:rPr>
        <w:t>2025</w:t>
      </w:r>
      <w:r>
        <w:rPr>
          <w:rFonts w:hint="eastAsia" w:ascii="宋体" w:hAnsi="宋体"/>
          <w:color w:val="auto"/>
          <w:sz w:val="32"/>
          <w:szCs w:val="32"/>
          <w:highlight w:val="none"/>
        </w:rPr>
        <w:t>年</w:t>
      </w:r>
      <w:r>
        <w:rPr>
          <w:rFonts w:hint="eastAsia" w:ascii="宋体" w:hAnsi="宋体" w:eastAsia="宋体"/>
          <w:color w:val="auto"/>
          <w:sz w:val="32"/>
          <w:szCs w:val="32"/>
          <w:highlight w:val="none"/>
          <w:lang w:val="en-US" w:eastAsia="zh-CN"/>
        </w:rPr>
        <w:t>8</w:t>
      </w:r>
      <w:r>
        <w:rPr>
          <w:rFonts w:hint="eastAsia" w:ascii="宋体" w:hAnsi="宋体"/>
          <w:color w:val="auto"/>
          <w:sz w:val="32"/>
          <w:szCs w:val="32"/>
          <w:highlight w:val="none"/>
        </w:rPr>
        <w:t>月</w:t>
      </w:r>
    </w:p>
    <w:permEnd w:id="2"/>
    <w:p w14:paraId="6E23C01E">
      <w:pPr>
        <w:pStyle w:val="26"/>
        <w:spacing w:line="360" w:lineRule="auto"/>
        <w:jc w:val="center"/>
        <w:rPr>
          <w:rFonts w:hint="eastAsia" w:ascii="宋体" w:hAnsi="宋体" w:eastAsia="宋体"/>
          <w:color w:val="auto"/>
          <w:highlight w:val="none"/>
        </w:rPr>
        <w:sectPr>
          <w:headerReference r:id="rId3" w:type="default"/>
          <w:footerReference r:id="rId4" w:type="default"/>
          <w:footerReference r:id="rId5" w:type="even"/>
          <w:pgSz w:w="11907" w:h="16840"/>
          <w:pgMar w:top="992" w:right="1363" w:bottom="1440" w:left="1304" w:header="851" w:footer="992" w:gutter="0"/>
          <w:pgNumType w:start="1"/>
          <w:cols w:space="720" w:num="1"/>
          <w:docGrid w:linePitch="312" w:charSpace="0"/>
        </w:sectPr>
      </w:pPr>
    </w:p>
    <w:p w14:paraId="0BF1C2D6">
      <w:pPr>
        <w:pStyle w:val="26"/>
        <w:spacing w:line="360" w:lineRule="auto"/>
        <w:ind w:firstLine="562" w:firstLineChars="200"/>
        <w:jc w:val="center"/>
        <w:rPr>
          <w:rFonts w:hint="eastAsia" w:ascii="宋体" w:hAnsi="宋体" w:eastAsia="Calibri Light" w:cs="宋体"/>
          <w:b/>
          <w:color w:val="2E74B5"/>
          <w:sz w:val="28"/>
          <w:szCs w:val="24"/>
          <w:highlight w:val="none"/>
          <w:lang w:val="en-US" w:eastAsia="zh-CN" w:bidi="ar-SA"/>
        </w:rPr>
      </w:pPr>
      <w:bookmarkStart w:id="21" w:name="_Toc8108"/>
      <w:bookmarkStart w:id="22" w:name="_Toc9382"/>
      <w:permStart w:id="3" w:edGrp="everyone"/>
      <w:r>
        <w:rPr>
          <w:rFonts w:hint="eastAsia" w:ascii="宋体" w:hAnsi="宋体" w:eastAsia="宋体"/>
          <w:color w:val="auto"/>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Toc508133957"/>
      <w:bookmarkStart w:id="24" w:name="_Toc5310"/>
      <w:bookmarkStart w:id="25" w:name="_Toc16187"/>
      <w:bookmarkStart w:id="26" w:name="_Toc22309"/>
      <w:bookmarkStart w:id="27" w:name="_Toc11879"/>
      <w:bookmarkStart w:id="28" w:name="_Toc20977"/>
      <w:bookmarkStart w:id="29" w:name="_Toc29073"/>
      <w:bookmarkStart w:id="30" w:name="_Toc3433"/>
      <w:bookmarkStart w:id="31" w:name="_Toc19789"/>
      <w:bookmarkStart w:id="32" w:name="_Toc1665"/>
      <w:bookmarkStart w:id="33" w:name="_Toc11926"/>
      <w:bookmarkStart w:id="34" w:name="_Toc11364"/>
      <w:bookmarkStart w:id="35" w:name="_Toc26049"/>
      <w:bookmarkStart w:id="36" w:name="_Toc28100"/>
      <w:bookmarkStart w:id="37" w:name="_Toc13464"/>
      <w:bookmarkStart w:id="38" w:name="_Toc4964"/>
      <w:bookmarkStart w:id="39" w:name="_Toc28359"/>
      <w:bookmarkStart w:id="40" w:name="_Toc32048"/>
      <w:bookmarkStart w:id="41" w:name="_Toc22362"/>
      <w:bookmarkStart w:id="42" w:name="_Toc28730"/>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p>
    <w:p w14:paraId="05182E11">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_Toc29810 </w:instrText>
      </w:r>
      <w:r>
        <w:rPr>
          <w:rFonts w:hint="eastAsia" w:ascii="宋体" w:hAnsi="宋体" w:cs="宋体"/>
          <w:szCs w:val="24"/>
          <w:highlight w:val="none"/>
        </w:rPr>
        <w:fldChar w:fldCharType="separate"/>
      </w:r>
      <w:r>
        <w:rPr>
          <w:rFonts w:hint="eastAsia"/>
          <w:szCs w:val="36"/>
          <w:highlight w:val="none"/>
        </w:rPr>
        <w:t>第一章磋商邀请</w:t>
      </w:r>
      <w:r>
        <w:tab/>
      </w:r>
      <w:r>
        <w:fldChar w:fldCharType="begin"/>
      </w:r>
      <w:r>
        <w:instrText xml:space="preserve"> PAGEREF _Toc29810 \h </w:instrText>
      </w:r>
      <w:r>
        <w:fldChar w:fldCharType="separate"/>
      </w:r>
      <w:r>
        <w:t>2</w:t>
      </w:r>
      <w:r>
        <w:fldChar w:fldCharType="end"/>
      </w:r>
      <w:r>
        <w:rPr>
          <w:rFonts w:hint="eastAsia" w:ascii="宋体" w:hAnsi="宋体" w:cs="宋体"/>
          <w:szCs w:val="24"/>
          <w:highlight w:val="none"/>
        </w:rPr>
        <w:fldChar w:fldCharType="end"/>
      </w:r>
    </w:p>
    <w:p w14:paraId="018EFFEA">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_Toc24138 </w:instrText>
      </w:r>
      <w:r>
        <w:rPr>
          <w:rFonts w:hint="eastAsia" w:ascii="宋体" w:hAnsi="宋体" w:cs="宋体"/>
          <w:szCs w:val="24"/>
          <w:highlight w:val="none"/>
        </w:rPr>
        <w:fldChar w:fldCharType="separate"/>
      </w:r>
      <w:r>
        <w:rPr>
          <w:rFonts w:hint="eastAsia"/>
          <w:szCs w:val="36"/>
          <w:highlight w:val="none"/>
        </w:rPr>
        <w:t>第二章磋商</w:t>
      </w:r>
      <w:r>
        <w:rPr>
          <w:szCs w:val="36"/>
          <w:highlight w:val="none"/>
        </w:rPr>
        <w:t>须知</w:t>
      </w:r>
      <w:r>
        <w:tab/>
      </w:r>
      <w:r>
        <w:fldChar w:fldCharType="begin"/>
      </w:r>
      <w:r>
        <w:instrText xml:space="preserve"> PAGEREF _Toc24138 \h </w:instrText>
      </w:r>
      <w:r>
        <w:fldChar w:fldCharType="separate"/>
      </w:r>
      <w:r>
        <w:t>5</w:t>
      </w:r>
      <w:r>
        <w:fldChar w:fldCharType="end"/>
      </w:r>
      <w:r>
        <w:rPr>
          <w:rFonts w:hint="eastAsia" w:ascii="宋体" w:hAnsi="宋体" w:cs="宋体"/>
          <w:szCs w:val="24"/>
          <w:highlight w:val="none"/>
        </w:rPr>
        <w:fldChar w:fldCharType="end"/>
      </w:r>
    </w:p>
    <w:p w14:paraId="61A1407F">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_Toc31345 </w:instrText>
      </w:r>
      <w:r>
        <w:rPr>
          <w:rFonts w:hint="eastAsia" w:ascii="宋体" w:hAnsi="宋体" w:cs="宋体"/>
          <w:szCs w:val="24"/>
          <w:highlight w:val="none"/>
        </w:rPr>
        <w:fldChar w:fldCharType="separate"/>
      </w:r>
      <w:r>
        <w:rPr>
          <w:rFonts w:ascii="微软雅黑" w:hAnsi="宋体" w:eastAsia="宋体"/>
          <w:highlight w:val="none"/>
        </w:rPr>
        <w:t>一、</w:t>
      </w:r>
      <w:r>
        <w:rPr>
          <w:rFonts w:hint="eastAsia" w:ascii="微软雅黑" w:hAnsi="宋体" w:eastAsia="宋体"/>
          <w:highlight w:val="none"/>
        </w:rPr>
        <w:t>供应商</w:t>
      </w:r>
      <w:r>
        <w:rPr>
          <w:rFonts w:ascii="微软雅黑" w:hAnsi="宋体" w:eastAsia="宋体"/>
          <w:highlight w:val="none"/>
        </w:rPr>
        <w:t>须知</w:t>
      </w:r>
      <w:r>
        <w:rPr>
          <w:rFonts w:hint="eastAsia" w:ascii="微软雅黑" w:hAnsi="宋体" w:eastAsia="宋体"/>
          <w:highlight w:val="none"/>
        </w:rPr>
        <w:t>前</w:t>
      </w:r>
      <w:r>
        <w:rPr>
          <w:rFonts w:ascii="微软雅黑" w:hAnsi="宋体" w:eastAsia="宋体"/>
          <w:highlight w:val="none"/>
        </w:rPr>
        <w:t>附表</w:t>
      </w:r>
      <w:r>
        <w:tab/>
      </w:r>
      <w:r>
        <w:fldChar w:fldCharType="begin"/>
      </w:r>
      <w:r>
        <w:instrText xml:space="preserve"> PAGEREF _Toc31345 \h </w:instrText>
      </w:r>
      <w:r>
        <w:fldChar w:fldCharType="separate"/>
      </w:r>
      <w:r>
        <w:t>5</w:t>
      </w:r>
      <w:r>
        <w:fldChar w:fldCharType="end"/>
      </w:r>
      <w:r>
        <w:rPr>
          <w:rFonts w:hint="eastAsia" w:ascii="宋体" w:hAnsi="宋体" w:cs="宋体"/>
          <w:szCs w:val="24"/>
          <w:highlight w:val="none"/>
        </w:rPr>
        <w:fldChar w:fldCharType="end"/>
      </w:r>
    </w:p>
    <w:p w14:paraId="7D8619C1">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_Toc4747 </w:instrText>
      </w:r>
      <w:r>
        <w:rPr>
          <w:rFonts w:hint="eastAsia" w:ascii="宋体" w:hAnsi="宋体" w:cs="宋体"/>
          <w:szCs w:val="24"/>
          <w:highlight w:val="none"/>
        </w:rPr>
        <w:fldChar w:fldCharType="separate"/>
      </w:r>
      <w:r>
        <w:rPr>
          <w:rFonts w:hint="eastAsia" w:ascii="黑体"/>
          <w:highlight w:val="none"/>
        </w:rPr>
        <w:t>二、总则</w:t>
      </w:r>
      <w:r>
        <w:tab/>
      </w:r>
      <w:r>
        <w:fldChar w:fldCharType="begin"/>
      </w:r>
      <w:r>
        <w:instrText xml:space="preserve"> PAGEREF _Toc4747 \h </w:instrText>
      </w:r>
      <w:r>
        <w:fldChar w:fldCharType="separate"/>
      </w:r>
      <w:r>
        <w:t>9</w:t>
      </w:r>
      <w:r>
        <w:fldChar w:fldCharType="end"/>
      </w:r>
      <w:r>
        <w:rPr>
          <w:rFonts w:hint="eastAsia" w:ascii="宋体" w:hAnsi="宋体" w:cs="宋体"/>
          <w:szCs w:val="24"/>
          <w:highlight w:val="none"/>
        </w:rPr>
        <w:fldChar w:fldCharType="end"/>
      </w:r>
    </w:p>
    <w:p w14:paraId="72AAE74B">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_Toc23084 </w:instrText>
      </w:r>
      <w:r>
        <w:rPr>
          <w:rFonts w:hint="eastAsia" w:ascii="宋体" w:hAnsi="宋体" w:cs="宋体"/>
          <w:szCs w:val="24"/>
          <w:highlight w:val="none"/>
        </w:rPr>
        <w:fldChar w:fldCharType="separate"/>
      </w:r>
      <w:r>
        <w:rPr>
          <w:rFonts w:hint="eastAsia"/>
          <w:highlight w:val="none"/>
        </w:rPr>
        <w:t>三、磋商文件</w:t>
      </w:r>
      <w:r>
        <w:tab/>
      </w:r>
      <w:r>
        <w:fldChar w:fldCharType="begin"/>
      </w:r>
      <w:r>
        <w:instrText xml:space="preserve"> PAGEREF _Toc23084 \h </w:instrText>
      </w:r>
      <w:r>
        <w:fldChar w:fldCharType="separate"/>
      </w:r>
      <w:r>
        <w:t>11</w:t>
      </w:r>
      <w:r>
        <w:fldChar w:fldCharType="end"/>
      </w:r>
      <w:r>
        <w:rPr>
          <w:rFonts w:hint="eastAsia" w:ascii="宋体" w:hAnsi="宋体" w:cs="宋体"/>
          <w:szCs w:val="24"/>
          <w:highlight w:val="none"/>
        </w:rPr>
        <w:fldChar w:fldCharType="end"/>
      </w:r>
    </w:p>
    <w:p w14:paraId="3AD2D370">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_Toc2751 </w:instrText>
      </w:r>
      <w:r>
        <w:rPr>
          <w:rFonts w:hint="eastAsia" w:ascii="宋体" w:hAnsi="宋体" w:cs="宋体"/>
          <w:szCs w:val="24"/>
          <w:highlight w:val="none"/>
        </w:rPr>
        <w:fldChar w:fldCharType="separate"/>
      </w:r>
      <w:r>
        <w:rPr>
          <w:rFonts w:hint="eastAsia"/>
          <w:highlight w:val="none"/>
        </w:rPr>
        <w:t>四、响应文件</w:t>
      </w:r>
      <w:r>
        <w:tab/>
      </w:r>
      <w:r>
        <w:fldChar w:fldCharType="begin"/>
      </w:r>
      <w:r>
        <w:instrText xml:space="preserve"> PAGEREF _Toc2751 \h </w:instrText>
      </w:r>
      <w:r>
        <w:fldChar w:fldCharType="separate"/>
      </w:r>
      <w:r>
        <w:t>12</w:t>
      </w:r>
      <w:r>
        <w:fldChar w:fldCharType="end"/>
      </w:r>
      <w:r>
        <w:rPr>
          <w:rFonts w:hint="eastAsia" w:ascii="宋体" w:hAnsi="宋体" w:cs="宋体"/>
          <w:szCs w:val="24"/>
          <w:highlight w:val="none"/>
        </w:rPr>
        <w:fldChar w:fldCharType="end"/>
      </w:r>
    </w:p>
    <w:p w14:paraId="21DA3606">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_Toc3663 </w:instrText>
      </w:r>
      <w:r>
        <w:rPr>
          <w:rFonts w:hint="eastAsia" w:ascii="宋体" w:hAnsi="宋体" w:cs="宋体"/>
          <w:szCs w:val="24"/>
          <w:highlight w:val="none"/>
        </w:rPr>
        <w:fldChar w:fldCharType="separate"/>
      </w:r>
      <w:r>
        <w:rPr>
          <w:rFonts w:hint="eastAsia"/>
          <w:highlight w:val="none"/>
        </w:rPr>
        <w:t>五、评审</w:t>
      </w:r>
      <w:r>
        <w:tab/>
      </w:r>
      <w:r>
        <w:fldChar w:fldCharType="begin"/>
      </w:r>
      <w:r>
        <w:instrText xml:space="preserve"> PAGEREF _Toc3663 \h </w:instrText>
      </w:r>
      <w:r>
        <w:fldChar w:fldCharType="separate"/>
      </w:r>
      <w:r>
        <w:t>14</w:t>
      </w:r>
      <w:r>
        <w:fldChar w:fldCharType="end"/>
      </w:r>
      <w:r>
        <w:rPr>
          <w:rFonts w:hint="eastAsia" w:ascii="宋体" w:hAnsi="宋体" w:cs="宋体"/>
          <w:szCs w:val="24"/>
          <w:highlight w:val="none"/>
        </w:rPr>
        <w:fldChar w:fldCharType="end"/>
      </w:r>
    </w:p>
    <w:p w14:paraId="2B72D9A8">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_Toc15245 </w:instrText>
      </w:r>
      <w:r>
        <w:rPr>
          <w:rFonts w:hint="eastAsia" w:ascii="宋体" w:hAnsi="宋体" w:cs="宋体"/>
          <w:szCs w:val="24"/>
          <w:highlight w:val="none"/>
        </w:rPr>
        <w:fldChar w:fldCharType="separate"/>
      </w:r>
      <w:r>
        <w:rPr>
          <w:rFonts w:hint="eastAsia" w:ascii="黑体" w:hAnsi="宋体"/>
          <w:highlight w:val="none"/>
        </w:rPr>
        <w:t>六、成交事项</w:t>
      </w:r>
      <w:r>
        <w:tab/>
      </w:r>
      <w:r>
        <w:fldChar w:fldCharType="begin"/>
      </w:r>
      <w:r>
        <w:instrText xml:space="preserve"> PAGEREF _Toc15245 \h </w:instrText>
      </w:r>
      <w:r>
        <w:fldChar w:fldCharType="separate"/>
      </w:r>
      <w:r>
        <w:t>14</w:t>
      </w:r>
      <w:r>
        <w:fldChar w:fldCharType="end"/>
      </w:r>
      <w:r>
        <w:rPr>
          <w:rFonts w:hint="eastAsia" w:ascii="宋体" w:hAnsi="宋体" w:cs="宋体"/>
          <w:szCs w:val="24"/>
          <w:highlight w:val="none"/>
        </w:rPr>
        <w:fldChar w:fldCharType="end"/>
      </w:r>
    </w:p>
    <w:p w14:paraId="1D5E0BEE">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_Toc31082 </w:instrText>
      </w:r>
      <w:r>
        <w:rPr>
          <w:rFonts w:hint="eastAsia" w:ascii="宋体" w:hAnsi="宋体" w:cs="宋体"/>
          <w:szCs w:val="24"/>
          <w:highlight w:val="none"/>
        </w:rPr>
        <w:fldChar w:fldCharType="separate"/>
      </w:r>
      <w:r>
        <w:rPr>
          <w:rFonts w:hint="eastAsia"/>
          <w:highlight w:val="none"/>
        </w:rPr>
        <w:t>七、合同事项</w:t>
      </w:r>
      <w:r>
        <w:tab/>
      </w:r>
      <w:r>
        <w:fldChar w:fldCharType="begin"/>
      </w:r>
      <w:r>
        <w:instrText xml:space="preserve"> PAGEREF _Toc31082 \h </w:instrText>
      </w:r>
      <w:r>
        <w:fldChar w:fldCharType="separate"/>
      </w:r>
      <w:r>
        <w:t>16</w:t>
      </w:r>
      <w:r>
        <w:fldChar w:fldCharType="end"/>
      </w:r>
      <w:r>
        <w:rPr>
          <w:rFonts w:hint="eastAsia" w:ascii="宋体" w:hAnsi="宋体" w:cs="宋体"/>
          <w:szCs w:val="24"/>
          <w:highlight w:val="none"/>
        </w:rPr>
        <w:fldChar w:fldCharType="end"/>
      </w:r>
    </w:p>
    <w:p w14:paraId="3F501449">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_Toc18213 </w:instrText>
      </w:r>
      <w:r>
        <w:rPr>
          <w:rFonts w:hint="eastAsia" w:ascii="宋体" w:hAnsi="宋体" w:cs="宋体"/>
          <w:szCs w:val="24"/>
          <w:highlight w:val="none"/>
        </w:rPr>
        <w:fldChar w:fldCharType="separate"/>
      </w:r>
      <w:r>
        <w:rPr>
          <w:rFonts w:hint="eastAsia"/>
          <w:highlight w:val="none"/>
        </w:rPr>
        <w:t>八、磋商纪律要求</w:t>
      </w:r>
      <w:r>
        <w:tab/>
      </w:r>
      <w:r>
        <w:fldChar w:fldCharType="begin"/>
      </w:r>
      <w:r>
        <w:instrText xml:space="preserve"> PAGEREF _Toc18213 \h </w:instrText>
      </w:r>
      <w:r>
        <w:fldChar w:fldCharType="separate"/>
      </w:r>
      <w:r>
        <w:t>17</w:t>
      </w:r>
      <w:r>
        <w:fldChar w:fldCharType="end"/>
      </w:r>
      <w:r>
        <w:rPr>
          <w:rFonts w:hint="eastAsia" w:ascii="宋体" w:hAnsi="宋体" w:cs="宋体"/>
          <w:szCs w:val="24"/>
          <w:highlight w:val="none"/>
        </w:rPr>
        <w:fldChar w:fldCharType="end"/>
      </w:r>
    </w:p>
    <w:p w14:paraId="0F6E2842">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_Toc4081 </w:instrText>
      </w:r>
      <w:r>
        <w:rPr>
          <w:rFonts w:hint="eastAsia" w:ascii="宋体" w:hAnsi="宋体" w:cs="宋体"/>
          <w:szCs w:val="24"/>
          <w:highlight w:val="none"/>
        </w:rPr>
        <w:fldChar w:fldCharType="separate"/>
      </w:r>
      <w:r>
        <w:rPr>
          <w:rFonts w:hint="eastAsia"/>
          <w:highlight w:val="none"/>
        </w:rPr>
        <w:t>九、询问、质疑和投诉</w:t>
      </w:r>
      <w:r>
        <w:tab/>
      </w:r>
      <w:r>
        <w:fldChar w:fldCharType="begin"/>
      </w:r>
      <w:r>
        <w:instrText xml:space="preserve"> PAGEREF _Toc4081 \h </w:instrText>
      </w:r>
      <w:r>
        <w:fldChar w:fldCharType="separate"/>
      </w:r>
      <w:r>
        <w:t>18</w:t>
      </w:r>
      <w:r>
        <w:fldChar w:fldCharType="end"/>
      </w:r>
      <w:r>
        <w:rPr>
          <w:rFonts w:hint="eastAsia" w:ascii="宋体" w:hAnsi="宋体" w:cs="宋体"/>
          <w:szCs w:val="24"/>
          <w:highlight w:val="none"/>
        </w:rPr>
        <w:fldChar w:fldCharType="end"/>
      </w:r>
    </w:p>
    <w:p w14:paraId="639F849E">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_Toc1992 </w:instrText>
      </w:r>
      <w:r>
        <w:rPr>
          <w:rFonts w:hint="eastAsia" w:ascii="宋体" w:hAnsi="宋体" w:cs="宋体"/>
          <w:szCs w:val="24"/>
          <w:highlight w:val="none"/>
        </w:rPr>
        <w:fldChar w:fldCharType="separate"/>
      </w:r>
      <w:r>
        <w:rPr>
          <w:rFonts w:hint="eastAsia"/>
          <w:highlight w:val="none"/>
        </w:rPr>
        <w:t>十、其他</w:t>
      </w:r>
      <w:r>
        <w:tab/>
      </w:r>
      <w:r>
        <w:fldChar w:fldCharType="begin"/>
      </w:r>
      <w:r>
        <w:instrText xml:space="preserve"> PAGEREF _Toc1992 \h </w:instrText>
      </w:r>
      <w:r>
        <w:fldChar w:fldCharType="separate"/>
      </w:r>
      <w:r>
        <w:t>18</w:t>
      </w:r>
      <w:r>
        <w:fldChar w:fldCharType="end"/>
      </w:r>
      <w:r>
        <w:rPr>
          <w:rFonts w:hint="eastAsia" w:ascii="宋体" w:hAnsi="宋体" w:cs="宋体"/>
          <w:szCs w:val="24"/>
          <w:highlight w:val="none"/>
        </w:rPr>
        <w:fldChar w:fldCharType="end"/>
      </w:r>
    </w:p>
    <w:p w14:paraId="49C770F7">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_Toc12543 </w:instrText>
      </w:r>
      <w:r>
        <w:rPr>
          <w:rFonts w:hint="eastAsia" w:ascii="宋体" w:hAnsi="宋体" w:cs="宋体"/>
          <w:szCs w:val="24"/>
          <w:highlight w:val="none"/>
        </w:rPr>
        <w:fldChar w:fldCharType="separate"/>
      </w:r>
      <w:r>
        <w:rPr>
          <w:rFonts w:hint="eastAsia"/>
          <w:szCs w:val="36"/>
          <w:highlight w:val="none"/>
        </w:rPr>
        <w:t>第三章供应商资格条件要求</w:t>
      </w:r>
      <w:r>
        <w:tab/>
      </w:r>
      <w:r>
        <w:fldChar w:fldCharType="begin"/>
      </w:r>
      <w:r>
        <w:instrText xml:space="preserve"> PAGEREF _Toc12543 \h </w:instrText>
      </w:r>
      <w:r>
        <w:fldChar w:fldCharType="separate"/>
      </w:r>
      <w:r>
        <w:t>19</w:t>
      </w:r>
      <w:r>
        <w:fldChar w:fldCharType="end"/>
      </w:r>
      <w:r>
        <w:rPr>
          <w:rFonts w:hint="eastAsia" w:ascii="宋体" w:hAnsi="宋体" w:cs="宋体"/>
          <w:szCs w:val="24"/>
          <w:highlight w:val="none"/>
        </w:rPr>
        <w:fldChar w:fldCharType="end"/>
      </w:r>
    </w:p>
    <w:p w14:paraId="1882C833">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_Toc5621 </w:instrText>
      </w:r>
      <w:r>
        <w:rPr>
          <w:rFonts w:hint="eastAsia" w:ascii="宋体" w:hAnsi="宋体" w:cs="宋体"/>
          <w:szCs w:val="24"/>
          <w:highlight w:val="none"/>
        </w:rPr>
        <w:fldChar w:fldCharType="separate"/>
      </w:r>
      <w:r>
        <w:rPr>
          <w:rFonts w:hint="eastAsia"/>
          <w:szCs w:val="36"/>
          <w:highlight w:val="none"/>
        </w:rPr>
        <w:t>第四章供应商资格证明材料</w:t>
      </w:r>
      <w:r>
        <w:tab/>
      </w:r>
      <w:r>
        <w:fldChar w:fldCharType="begin"/>
      </w:r>
      <w:r>
        <w:instrText xml:space="preserve"> PAGEREF _Toc5621 \h </w:instrText>
      </w:r>
      <w:r>
        <w:fldChar w:fldCharType="separate"/>
      </w:r>
      <w:r>
        <w:t>20</w:t>
      </w:r>
      <w:r>
        <w:fldChar w:fldCharType="end"/>
      </w:r>
      <w:r>
        <w:rPr>
          <w:rFonts w:hint="eastAsia" w:ascii="宋体" w:hAnsi="宋体" w:cs="宋体"/>
          <w:szCs w:val="24"/>
          <w:highlight w:val="none"/>
        </w:rPr>
        <w:fldChar w:fldCharType="end"/>
      </w:r>
    </w:p>
    <w:p w14:paraId="2D5353E7">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 </w:instrText>
      </w:r>
      <w:r>
        <w:rPr>
          <w:rFonts w:hint="eastAsia" w:ascii="宋体" w:hAnsi="宋体" w:cs="宋体"/>
          <w:szCs w:val="24"/>
          <w:highlight w:val="none"/>
        </w:rPr>
        <w:fldChar w:fldCharType="separate"/>
      </w:r>
      <w:r>
        <w:rPr>
          <w:rFonts w:hint="eastAsia" w:ascii="宋体" w:hAnsi="宋体" w:eastAsia="宋体" w:cs="宋体"/>
          <w:bCs/>
          <w:szCs w:val="36"/>
          <w:highlight w:val="none"/>
        </w:rPr>
        <w:t>第五章采购项目技术、服务及其他商务要求</w:t>
      </w:r>
      <w:r>
        <w:tab/>
      </w:r>
      <w:r>
        <w:fldChar w:fldCharType="begin"/>
      </w:r>
      <w:r>
        <w:instrText xml:space="preserve"> PAGEREF _Toc10 \h </w:instrText>
      </w:r>
      <w:r>
        <w:fldChar w:fldCharType="separate"/>
      </w:r>
      <w:r>
        <w:t>22</w:t>
      </w:r>
      <w:r>
        <w:fldChar w:fldCharType="end"/>
      </w:r>
      <w:r>
        <w:rPr>
          <w:rFonts w:hint="eastAsia" w:ascii="宋体" w:hAnsi="宋体" w:cs="宋体"/>
          <w:szCs w:val="24"/>
          <w:highlight w:val="none"/>
        </w:rPr>
        <w:fldChar w:fldCharType="end"/>
      </w:r>
    </w:p>
    <w:p w14:paraId="106565B8">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_Toc16957 </w:instrText>
      </w:r>
      <w:r>
        <w:rPr>
          <w:rFonts w:hint="eastAsia" w:ascii="宋体" w:hAnsi="宋体" w:cs="宋体"/>
          <w:szCs w:val="24"/>
          <w:highlight w:val="none"/>
        </w:rPr>
        <w:fldChar w:fldCharType="separate"/>
      </w:r>
      <w:r>
        <w:rPr>
          <w:rFonts w:hint="eastAsia"/>
          <w:szCs w:val="36"/>
          <w:highlight w:val="none"/>
        </w:rPr>
        <w:t>第六章</w:t>
      </w:r>
      <w:r>
        <w:rPr>
          <w:szCs w:val="36"/>
          <w:highlight w:val="none"/>
        </w:rPr>
        <w:t>响应文件格式</w:t>
      </w:r>
      <w:r>
        <w:tab/>
      </w:r>
      <w:r>
        <w:fldChar w:fldCharType="begin"/>
      </w:r>
      <w:r>
        <w:instrText xml:space="preserve"> PAGEREF _Toc16957 \h </w:instrText>
      </w:r>
      <w:r>
        <w:fldChar w:fldCharType="separate"/>
      </w:r>
      <w:r>
        <w:t>25</w:t>
      </w:r>
      <w:r>
        <w:fldChar w:fldCharType="end"/>
      </w:r>
      <w:r>
        <w:rPr>
          <w:rFonts w:hint="eastAsia" w:ascii="宋体" w:hAnsi="宋体" w:cs="宋体"/>
          <w:szCs w:val="24"/>
          <w:highlight w:val="none"/>
        </w:rPr>
        <w:fldChar w:fldCharType="end"/>
      </w:r>
    </w:p>
    <w:p w14:paraId="4FE616B1">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_Toc32315 </w:instrText>
      </w:r>
      <w:r>
        <w:rPr>
          <w:rFonts w:hint="eastAsia" w:ascii="宋体" w:hAnsi="宋体" w:cs="宋体"/>
          <w:szCs w:val="24"/>
          <w:highlight w:val="none"/>
        </w:rPr>
        <w:fldChar w:fldCharType="separate"/>
      </w:r>
      <w:r>
        <w:rPr>
          <w:rFonts w:hint="eastAsia"/>
          <w:bCs/>
          <w:szCs w:val="32"/>
          <w:highlight w:val="none"/>
        </w:rPr>
        <w:t>一、法定代表人身份证明文件或法定代表人授权书</w:t>
      </w:r>
      <w:r>
        <w:tab/>
      </w:r>
      <w:r>
        <w:fldChar w:fldCharType="begin"/>
      </w:r>
      <w:r>
        <w:instrText xml:space="preserve"> PAGEREF _Toc32315 \h </w:instrText>
      </w:r>
      <w:r>
        <w:fldChar w:fldCharType="separate"/>
      </w:r>
      <w:r>
        <w:t>26</w:t>
      </w:r>
      <w:r>
        <w:fldChar w:fldCharType="end"/>
      </w:r>
      <w:r>
        <w:rPr>
          <w:rFonts w:hint="eastAsia" w:ascii="宋体" w:hAnsi="宋体" w:cs="宋体"/>
          <w:szCs w:val="24"/>
          <w:highlight w:val="none"/>
        </w:rPr>
        <w:fldChar w:fldCharType="end"/>
      </w:r>
    </w:p>
    <w:p w14:paraId="50691314">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_Toc30890 </w:instrText>
      </w:r>
      <w:r>
        <w:rPr>
          <w:rFonts w:hint="eastAsia" w:ascii="宋体" w:hAnsi="宋体" w:cs="宋体"/>
          <w:szCs w:val="24"/>
          <w:highlight w:val="none"/>
        </w:rPr>
        <w:fldChar w:fldCharType="separate"/>
      </w:r>
      <w:r>
        <w:rPr>
          <w:rFonts w:hint="eastAsia"/>
          <w:bCs/>
          <w:szCs w:val="32"/>
          <w:highlight w:val="none"/>
        </w:rPr>
        <w:t>二</w:t>
      </w:r>
      <w:r>
        <w:rPr>
          <w:bCs/>
          <w:szCs w:val="32"/>
          <w:highlight w:val="none"/>
        </w:rPr>
        <w:t>、</w:t>
      </w:r>
      <w:r>
        <w:rPr>
          <w:rFonts w:hint="eastAsia"/>
          <w:bCs/>
          <w:szCs w:val="32"/>
          <w:highlight w:val="none"/>
        </w:rPr>
        <w:t>供应商</w:t>
      </w:r>
      <w:r>
        <w:rPr>
          <w:bCs/>
          <w:szCs w:val="32"/>
          <w:highlight w:val="none"/>
        </w:rPr>
        <w:t>基本情况表</w:t>
      </w:r>
      <w:r>
        <w:tab/>
      </w:r>
      <w:r>
        <w:fldChar w:fldCharType="begin"/>
      </w:r>
      <w:r>
        <w:instrText xml:space="preserve"> PAGEREF _Toc30890 \h </w:instrText>
      </w:r>
      <w:r>
        <w:fldChar w:fldCharType="separate"/>
      </w:r>
      <w:r>
        <w:t>27</w:t>
      </w:r>
      <w:r>
        <w:fldChar w:fldCharType="end"/>
      </w:r>
      <w:r>
        <w:rPr>
          <w:rFonts w:hint="eastAsia" w:ascii="宋体" w:hAnsi="宋体" w:cs="宋体"/>
          <w:szCs w:val="24"/>
          <w:highlight w:val="none"/>
        </w:rPr>
        <w:fldChar w:fldCharType="end"/>
      </w:r>
    </w:p>
    <w:p w14:paraId="0B20D539">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_Toc7060 </w:instrText>
      </w:r>
      <w:r>
        <w:rPr>
          <w:rFonts w:hint="eastAsia" w:ascii="宋体" w:hAnsi="宋体" w:cs="宋体"/>
          <w:szCs w:val="24"/>
          <w:highlight w:val="none"/>
        </w:rPr>
        <w:fldChar w:fldCharType="separate"/>
      </w:r>
      <w:r>
        <w:rPr>
          <w:rFonts w:hint="eastAsia"/>
          <w:highlight w:val="none"/>
        </w:rPr>
        <w:t>三、承诺函</w:t>
      </w:r>
      <w:r>
        <w:tab/>
      </w:r>
      <w:r>
        <w:fldChar w:fldCharType="begin"/>
      </w:r>
      <w:r>
        <w:instrText xml:space="preserve"> PAGEREF _Toc7060 \h </w:instrText>
      </w:r>
      <w:r>
        <w:fldChar w:fldCharType="separate"/>
      </w:r>
      <w:r>
        <w:t>1</w:t>
      </w:r>
      <w:r>
        <w:fldChar w:fldCharType="end"/>
      </w:r>
      <w:r>
        <w:rPr>
          <w:rFonts w:hint="eastAsia" w:ascii="宋体" w:hAnsi="宋体" w:cs="宋体"/>
          <w:szCs w:val="24"/>
          <w:highlight w:val="none"/>
        </w:rPr>
        <w:fldChar w:fldCharType="end"/>
      </w:r>
    </w:p>
    <w:p w14:paraId="6AE0C3A4">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_Toc25573 </w:instrText>
      </w:r>
      <w:r>
        <w:rPr>
          <w:rFonts w:hint="eastAsia" w:ascii="宋体" w:hAnsi="宋体" w:cs="宋体"/>
          <w:szCs w:val="24"/>
          <w:highlight w:val="none"/>
        </w:rPr>
        <w:fldChar w:fldCharType="separate"/>
      </w:r>
      <w:r>
        <w:rPr>
          <w:rFonts w:hint="eastAsia"/>
          <w:bCs/>
          <w:szCs w:val="32"/>
          <w:highlight w:val="none"/>
        </w:rPr>
        <w:t>四、报价函</w:t>
      </w:r>
      <w:r>
        <w:tab/>
      </w:r>
      <w:r>
        <w:fldChar w:fldCharType="begin"/>
      </w:r>
      <w:r>
        <w:instrText xml:space="preserve"> PAGEREF _Toc25573 \h </w:instrText>
      </w:r>
      <w:r>
        <w:fldChar w:fldCharType="separate"/>
      </w:r>
      <w:r>
        <w:t>2</w:t>
      </w:r>
      <w:r>
        <w:fldChar w:fldCharType="end"/>
      </w:r>
      <w:r>
        <w:rPr>
          <w:rFonts w:hint="eastAsia" w:ascii="宋体" w:hAnsi="宋体" w:cs="宋体"/>
          <w:szCs w:val="24"/>
          <w:highlight w:val="none"/>
        </w:rPr>
        <w:fldChar w:fldCharType="end"/>
      </w:r>
    </w:p>
    <w:p w14:paraId="166E19F4">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_Toc186 </w:instrText>
      </w:r>
      <w:r>
        <w:rPr>
          <w:rFonts w:hint="eastAsia" w:ascii="宋体" w:hAnsi="宋体" w:cs="宋体"/>
          <w:szCs w:val="24"/>
          <w:highlight w:val="none"/>
        </w:rPr>
        <w:fldChar w:fldCharType="separate"/>
      </w:r>
      <w:r>
        <w:rPr>
          <w:rFonts w:hint="eastAsia"/>
          <w:highlight w:val="none"/>
        </w:rPr>
        <w:t>五</w:t>
      </w:r>
      <w:r>
        <w:rPr>
          <w:highlight w:val="none"/>
        </w:rPr>
        <w:t>、</w:t>
      </w:r>
      <w:r>
        <w:rPr>
          <w:rFonts w:hint="eastAsia"/>
          <w:highlight w:val="none"/>
          <w:lang w:val="en-US" w:eastAsia="zh-CN"/>
        </w:rPr>
        <w:t>首轮报价</w:t>
      </w:r>
      <w:r>
        <w:rPr>
          <w:rFonts w:hint="eastAsia"/>
          <w:highlight w:val="none"/>
        </w:rPr>
        <w:t>表</w:t>
      </w:r>
      <w:r>
        <w:tab/>
      </w:r>
      <w:r>
        <w:fldChar w:fldCharType="begin"/>
      </w:r>
      <w:r>
        <w:instrText xml:space="preserve"> PAGEREF _Toc186 \h </w:instrText>
      </w:r>
      <w:r>
        <w:fldChar w:fldCharType="separate"/>
      </w:r>
      <w:r>
        <w:t>3</w:t>
      </w:r>
      <w:r>
        <w:fldChar w:fldCharType="end"/>
      </w:r>
      <w:r>
        <w:rPr>
          <w:rFonts w:hint="eastAsia" w:ascii="宋体" w:hAnsi="宋体" w:cs="宋体"/>
          <w:szCs w:val="24"/>
          <w:highlight w:val="none"/>
        </w:rPr>
        <w:fldChar w:fldCharType="end"/>
      </w:r>
    </w:p>
    <w:p w14:paraId="3310ABCB">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_Toc10985 </w:instrText>
      </w:r>
      <w:r>
        <w:rPr>
          <w:rFonts w:hint="eastAsia" w:ascii="宋体" w:hAnsi="宋体" w:cs="宋体"/>
          <w:szCs w:val="24"/>
          <w:highlight w:val="none"/>
        </w:rPr>
        <w:fldChar w:fldCharType="separate"/>
      </w:r>
      <w:r>
        <w:rPr>
          <w:rFonts w:hint="eastAsia"/>
          <w:highlight w:val="none"/>
          <w:lang w:val="en-US" w:eastAsia="zh-CN"/>
        </w:rPr>
        <w:t>六</w:t>
      </w:r>
      <w:r>
        <w:rPr>
          <w:rFonts w:hint="eastAsia"/>
          <w:highlight w:val="none"/>
        </w:rPr>
        <w:t>、供应商本项目拟派管理及技术人员情况表</w:t>
      </w:r>
      <w:r>
        <w:tab/>
      </w:r>
      <w:r>
        <w:fldChar w:fldCharType="begin"/>
      </w:r>
      <w:r>
        <w:instrText xml:space="preserve"> PAGEREF _Toc10985 \h </w:instrText>
      </w:r>
      <w:r>
        <w:fldChar w:fldCharType="separate"/>
      </w:r>
      <w:r>
        <w:t>5</w:t>
      </w:r>
      <w:r>
        <w:fldChar w:fldCharType="end"/>
      </w:r>
      <w:r>
        <w:rPr>
          <w:rFonts w:hint="eastAsia" w:ascii="宋体" w:hAnsi="宋体" w:cs="宋体"/>
          <w:szCs w:val="24"/>
          <w:highlight w:val="none"/>
        </w:rPr>
        <w:fldChar w:fldCharType="end"/>
      </w:r>
    </w:p>
    <w:p w14:paraId="643D2D63">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_Toc13421 </w:instrText>
      </w:r>
      <w:r>
        <w:rPr>
          <w:rFonts w:hint="eastAsia" w:ascii="宋体" w:hAnsi="宋体" w:cs="宋体"/>
          <w:szCs w:val="24"/>
          <w:highlight w:val="none"/>
        </w:rPr>
        <w:fldChar w:fldCharType="separate"/>
      </w:r>
      <w:r>
        <w:rPr>
          <w:rFonts w:hint="eastAsia"/>
          <w:bCs/>
          <w:szCs w:val="32"/>
          <w:highlight w:val="none"/>
          <w:lang w:val="en-US" w:eastAsia="zh-CN"/>
        </w:rPr>
        <w:t>七</w:t>
      </w:r>
      <w:r>
        <w:rPr>
          <w:rFonts w:hint="eastAsia"/>
          <w:bCs/>
          <w:szCs w:val="32"/>
          <w:highlight w:val="none"/>
        </w:rPr>
        <w:t>、商务、服务要求应答表</w:t>
      </w:r>
      <w:r>
        <w:tab/>
      </w:r>
      <w:r>
        <w:fldChar w:fldCharType="begin"/>
      </w:r>
      <w:r>
        <w:instrText xml:space="preserve"> PAGEREF _Toc13421 \h </w:instrText>
      </w:r>
      <w:r>
        <w:fldChar w:fldCharType="separate"/>
      </w:r>
      <w:r>
        <w:t>3</w:t>
      </w:r>
      <w:r>
        <w:fldChar w:fldCharType="end"/>
      </w:r>
      <w:r>
        <w:rPr>
          <w:rFonts w:hint="eastAsia" w:ascii="宋体" w:hAnsi="宋体" w:cs="宋体"/>
          <w:szCs w:val="24"/>
          <w:highlight w:val="none"/>
        </w:rPr>
        <w:fldChar w:fldCharType="end"/>
      </w:r>
    </w:p>
    <w:p w14:paraId="70073AF6">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_Toc11204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八</w:t>
      </w:r>
      <w:r>
        <w:rPr>
          <w:rFonts w:hint="eastAsia"/>
          <w:bCs/>
          <w:szCs w:val="32"/>
          <w:highlight w:val="none"/>
        </w:rPr>
        <w:t>、法律文件证明</w:t>
      </w:r>
      <w:r>
        <w:tab/>
      </w:r>
      <w:r>
        <w:fldChar w:fldCharType="begin"/>
      </w:r>
      <w:r>
        <w:instrText xml:space="preserve"> PAGEREF _Toc11204 \h </w:instrText>
      </w:r>
      <w:r>
        <w:fldChar w:fldCharType="separate"/>
      </w:r>
      <w:r>
        <w:t>8</w:t>
      </w:r>
      <w:r>
        <w:fldChar w:fldCharType="end"/>
      </w:r>
      <w:r>
        <w:rPr>
          <w:rFonts w:hint="eastAsia" w:ascii="宋体" w:hAnsi="宋体" w:cs="宋体"/>
          <w:szCs w:val="24"/>
          <w:highlight w:val="none"/>
        </w:rPr>
        <w:fldChar w:fldCharType="end"/>
      </w:r>
    </w:p>
    <w:p w14:paraId="334C8ECD">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_Toc20038 </w:instrText>
      </w:r>
      <w:r>
        <w:rPr>
          <w:rFonts w:hint="eastAsia" w:ascii="宋体" w:hAnsi="宋体" w:cs="宋体"/>
          <w:szCs w:val="24"/>
          <w:highlight w:val="none"/>
        </w:rPr>
        <w:fldChar w:fldCharType="separate"/>
      </w:r>
      <w:r>
        <w:rPr>
          <w:rFonts w:hint="eastAsia" w:eastAsia="宋体"/>
          <w:highlight w:val="none"/>
          <w:lang w:val="en-US" w:eastAsia="zh-CN"/>
        </w:rPr>
        <w:t>九</w:t>
      </w:r>
      <w:r>
        <w:rPr>
          <w:rFonts w:hint="eastAsia"/>
          <w:highlight w:val="none"/>
        </w:rPr>
        <w:t>、竞标人廉洁自律承诺书</w:t>
      </w:r>
      <w:r>
        <w:tab/>
      </w:r>
      <w:r>
        <w:fldChar w:fldCharType="begin"/>
      </w:r>
      <w:r>
        <w:instrText xml:space="preserve"> PAGEREF _Toc20038 \h </w:instrText>
      </w:r>
      <w:r>
        <w:fldChar w:fldCharType="separate"/>
      </w:r>
      <w:r>
        <w:t>9</w:t>
      </w:r>
      <w:r>
        <w:fldChar w:fldCharType="end"/>
      </w:r>
      <w:r>
        <w:rPr>
          <w:rFonts w:hint="eastAsia" w:ascii="宋体" w:hAnsi="宋体" w:cs="宋体"/>
          <w:szCs w:val="24"/>
          <w:highlight w:val="none"/>
        </w:rPr>
        <w:fldChar w:fldCharType="end"/>
      </w:r>
    </w:p>
    <w:p w14:paraId="650ADFA7">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_Toc16543 </w:instrText>
      </w:r>
      <w:r>
        <w:rPr>
          <w:rFonts w:hint="eastAsia" w:ascii="宋体" w:hAnsi="宋体" w:cs="宋体"/>
          <w:szCs w:val="24"/>
          <w:highlight w:val="none"/>
        </w:rPr>
        <w:fldChar w:fldCharType="separate"/>
      </w:r>
      <w:r>
        <w:rPr>
          <w:rFonts w:hint="eastAsia"/>
          <w:szCs w:val="32"/>
          <w:highlight w:val="none"/>
        </w:rPr>
        <w:t>十、服务方案（格式自拟）</w:t>
      </w:r>
      <w:r>
        <w:tab/>
      </w:r>
      <w:r>
        <w:fldChar w:fldCharType="begin"/>
      </w:r>
      <w:r>
        <w:instrText xml:space="preserve"> PAGEREF _Toc16543 \h </w:instrText>
      </w:r>
      <w:r>
        <w:fldChar w:fldCharType="separate"/>
      </w:r>
      <w:r>
        <w:t>10</w:t>
      </w:r>
      <w:r>
        <w:fldChar w:fldCharType="end"/>
      </w:r>
      <w:r>
        <w:rPr>
          <w:rFonts w:hint="eastAsia" w:ascii="宋体" w:hAnsi="宋体" w:cs="宋体"/>
          <w:szCs w:val="24"/>
          <w:highlight w:val="none"/>
        </w:rPr>
        <w:fldChar w:fldCharType="end"/>
      </w:r>
    </w:p>
    <w:p w14:paraId="65C3EDA9">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_Toc16811 </w:instrText>
      </w:r>
      <w:r>
        <w:rPr>
          <w:rFonts w:hint="eastAsia" w:ascii="宋体" w:hAnsi="宋体" w:cs="宋体"/>
          <w:szCs w:val="24"/>
          <w:highlight w:val="none"/>
        </w:rPr>
        <w:fldChar w:fldCharType="separate"/>
      </w:r>
      <w:r>
        <w:rPr>
          <w:rFonts w:hint="eastAsia"/>
          <w:szCs w:val="32"/>
          <w:highlight w:val="none"/>
        </w:rPr>
        <w:t>十</w:t>
      </w:r>
      <w:r>
        <w:rPr>
          <w:rFonts w:hint="eastAsia" w:eastAsia="宋体"/>
          <w:szCs w:val="32"/>
          <w:highlight w:val="none"/>
          <w:lang w:val="en-US" w:eastAsia="zh-CN"/>
        </w:rPr>
        <w:t>一</w:t>
      </w:r>
      <w:r>
        <w:rPr>
          <w:rFonts w:hint="eastAsia"/>
          <w:szCs w:val="32"/>
          <w:highlight w:val="none"/>
        </w:rPr>
        <w:t>、</w:t>
      </w:r>
      <w:r>
        <w:rPr>
          <w:rFonts w:hint="eastAsia"/>
          <w:szCs w:val="32"/>
          <w:highlight w:val="none"/>
          <w:lang w:val="en-US" w:eastAsia="zh-CN"/>
        </w:rPr>
        <w:t>磋商</w:t>
      </w:r>
      <w:r>
        <w:rPr>
          <w:rFonts w:hint="eastAsia"/>
          <w:szCs w:val="32"/>
          <w:highlight w:val="none"/>
        </w:rPr>
        <w:t>保证金退还申请书</w:t>
      </w:r>
      <w:r>
        <w:tab/>
      </w:r>
      <w:r>
        <w:rPr>
          <w:rFonts w:hint="eastAsia" w:ascii="宋体" w:hAnsi="宋体" w:cs="宋体"/>
          <w:szCs w:val="24"/>
          <w:highlight w:val="none"/>
        </w:rPr>
        <w:fldChar w:fldCharType="end"/>
      </w:r>
    </w:p>
    <w:p w14:paraId="68FECF54">
      <w:pPr>
        <w:pStyle w:val="15"/>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_Toc17712 </w:instrText>
      </w:r>
      <w:r>
        <w:rPr>
          <w:rFonts w:hint="eastAsia" w:ascii="宋体" w:hAnsi="宋体" w:cs="宋体"/>
          <w:szCs w:val="24"/>
          <w:highlight w:val="none"/>
        </w:rPr>
        <w:fldChar w:fldCharType="separate"/>
      </w:r>
      <w:r>
        <w:rPr>
          <w:rFonts w:hint="eastAsia" w:ascii="Times New Roman" w:hAnsi="Times New Roman" w:eastAsia="宋体"/>
          <w:szCs w:val="32"/>
          <w:highlight w:val="none"/>
        </w:rPr>
        <w:t>十</w:t>
      </w:r>
      <w:r>
        <w:rPr>
          <w:rFonts w:hint="eastAsia" w:ascii="Times New Roman" w:hAnsi="Times New Roman" w:eastAsia="宋体"/>
          <w:szCs w:val="32"/>
          <w:highlight w:val="none"/>
          <w:lang w:val="en-US" w:eastAsia="zh-CN"/>
        </w:rPr>
        <w:t>二</w:t>
      </w:r>
      <w:r>
        <w:rPr>
          <w:rFonts w:hint="eastAsia" w:ascii="Times New Roman" w:hAnsi="Times New Roman" w:eastAsia="宋体"/>
          <w:szCs w:val="32"/>
          <w:highlight w:val="none"/>
        </w:rPr>
        <w:t>、</w:t>
      </w:r>
      <w:r>
        <w:rPr>
          <w:rFonts w:hint="eastAsia"/>
          <w:highlight w:val="none"/>
        </w:rPr>
        <w:t>最终报价函</w:t>
      </w:r>
      <w:r>
        <w:tab/>
      </w:r>
      <w:r>
        <w:fldChar w:fldCharType="begin"/>
      </w:r>
      <w:r>
        <w:instrText xml:space="preserve"> PAGEREF _Toc17712 \h </w:instrText>
      </w:r>
      <w:r>
        <w:fldChar w:fldCharType="separate"/>
      </w:r>
      <w:r>
        <w:t>11</w:t>
      </w:r>
      <w:r>
        <w:fldChar w:fldCharType="end"/>
      </w:r>
      <w:r>
        <w:rPr>
          <w:rFonts w:hint="eastAsia" w:ascii="宋体" w:hAnsi="宋体" w:cs="宋体"/>
          <w:szCs w:val="24"/>
          <w:highlight w:val="none"/>
        </w:rPr>
        <w:fldChar w:fldCharType="end"/>
      </w:r>
    </w:p>
    <w:p w14:paraId="5D376E8F">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_Toc25811 </w:instrText>
      </w:r>
      <w:r>
        <w:rPr>
          <w:rFonts w:hint="eastAsia" w:ascii="宋体" w:hAnsi="宋体" w:cs="宋体"/>
          <w:szCs w:val="24"/>
          <w:highlight w:val="none"/>
        </w:rPr>
        <w:fldChar w:fldCharType="separate"/>
      </w:r>
      <w:r>
        <w:rPr>
          <w:szCs w:val="36"/>
          <w:highlight w:val="none"/>
        </w:rPr>
        <w:t>第</w:t>
      </w:r>
      <w:r>
        <w:rPr>
          <w:rFonts w:hint="eastAsia"/>
          <w:szCs w:val="36"/>
          <w:highlight w:val="none"/>
        </w:rPr>
        <w:t>七</w:t>
      </w:r>
      <w:r>
        <w:rPr>
          <w:szCs w:val="36"/>
          <w:highlight w:val="none"/>
        </w:rPr>
        <w:t>章磋商程序、方法、标准</w:t>
      </w:r>
      <w:r>
        <w:tab/>
      </w:r>
      <w:r>
        <w:fldChar w:fldCharType="begin"/>
      </w:r>
      <w:r>
        <w:instrText xml:space="preserve"> PAGEREF _Toc25811 \h </w:instrText>
      </w:r>
      <w:r>
        <w:fldChar w:fldCharType="separate"/>
      </w:r>
      <w:r>
        <w:t>12</w:t>
      </w:r>
      <w:r>
        <w:fldChar w:fldCharType="end"/>
      </w:r>
      <w:r>
        <w:rPr>
          <w:rFonts w:hint="eastAsia" w:ascii="宋体" w:hAnsi="宋体" w:cs="宋体"/>
          <w:szCs w:val="24"/>
          <w:highlight w:val="none"/>
        </w:rPr>
        <w:fldChar w:fldCharType="end"/>
      </w:r>
    </w:p>
    <w:p w14:paraId="6FB4E0F0">
      <w:pPr>
        <w:pStyle w:val="14"/>
        <w:tabs>
          <w:tab w:val="right" w:leader="dot" w:pos="9240"/>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_Toc30160 </w:instrText>
      </w:r>
      <w:r>
        <w:rPr>
          <w:rFonts w:hint="eastAsia" w:ascii="宋体" w:hAnsi="宋体" w:cs="宋体"/>
          <w:szCs w:val="24"/>
          <w:highlight w:val="none"/>
        </w:rPr>
        <w:fldChar w:fldCharType="separate"/>
      </w:r>
      <w:r>
        <w:rPr>
          <w:rFonts w:hint="eastAsia"/>
          <w:szCs w:val="36"/>
          <w:highlight w:val="none"/>
        </w:rPr>
        <w:t>第八章采购合同（草案）</w:t>
      </w:r>
      <w:r>
        <w:tab/>
      </w:r>
      <w:r>
        <w:fldChar w:fldCharType="begin"/>
      </w:r>
      <w:r>
        <w:instrText xml:space="preserve"> PAGEREF _Toc30160 \h </w:instrText>
      </w:r>
      <w:r>
        <w:fldChar w:fldCharType="separate"/>
      </w:r>
      <w:r>
        <w:t>22</w:t>
      </w:r>
      <w:r>
        <w:fldChar w:fldCharType="end"/>
      </w:r>
      <w:r>
        <w:rPr>
          <w:rFonts w:hint="eastAsia" w:ascii="宋体" w:hAnsi="宋体" w:cs="宋体"/>
          <w:szCs w:val="24"/>
          <w:highlight w:val="none"/>
        </w:rPr>
        <w:fldChar w:fldCharType="end"/>
      </w:r>
    </w:p>
    <w:p w14:paraId="1634841C">
      <w:pPr>
        <w:spacing w:line="360" w:lineRule="auto"/>
        <w:ind w:firstLine="420" w:firstLineChars="200"/>
        <w:jc w:val="center"/>
        <w:rPr>
          <w:rFonts w:hint="eastAsia" w:ascii="宋体" w:hAnsi="宋体" w:cs="宋体"/>
          <w:sz w:val="24"/>
          <w:szCs w:val="24"/>
          <w:highlight w:val="none"/>
        </w:rPr>
      </w:pPr>
      <w:r>
        <w:rPr>
          <w:rFonts w:hint="eastAsia" w:ascii="宋体" w:hAnsi="宋体" w:cs="宋体"/>
          <w:szCs w:val="24"/>
          <w:highlight w:val="none"/>
        </w:rPr>
        <w:fldChar w:fldCharType="end"/>
      </w:r>
    </w:p>
    <w:permEnd w:id="3"/>
    <w:p w14:paraId="205CB990">
      <w:pPr>
        <w:pStyle w:val="5"/>
        <w:spacing w:line="360" w:lineRule="auto"/>
        <w:jc w:val="center"/>
        <w:rPr>
          <w:rFonts w:hint="eastAsia"/>
          <w:sz w:val="36"/>
          <w:szCs w:val="36"/>
          <w:highlight w:val="none"/>
        </w:rPr>
      </w:pPr>
      <w:bookmarkStart w:id="43" w:name="_Toc31376"/>
      <w:r>
        <w:rPr>
          <w:highlight w:val="none"/>
        </w:rPr>
        <w:br w:type="page"/>
      </w:r>
      <w:bookmarkStart w:id="44" w:name="_Toc29810"/>
      <w:r>
        <w:rPr>
          <w:rFonts w:hint="eastAsia"/>
          <w:sz w:val="36"/>
          <w:szCs w:val="36"/>
          <w:highlight w:val="none"/>
        </w:rPr>
        <w:t>第一章磋商</w:t>
      </w:r>
      <w:bookmarkEnd w:id="23"/>
      <w:r>
        <w:rPr>
          <w:rFonts w:hint="eastAsia"/>
          <w:sz w:val="36"/>
          <w:szCs w:val="36"/>
          <w:highlight w:val="none"/>
        </w:rPr>
        <w:t>邀请</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8316FB5">
      <w:pPr>
        <w:spacing w:line="360" w:lineRule="auto"/>
        <w:ind w:firstLine="480" w:firstLineChars="200"/>
        <w:jc w:val="left"/>
        <w:rPr>
          <w:rFonts w:ascii="宋体" w:hAnsi="宋体" w:cs="宋体"/>
          <w:sz w:val="24"/>
          <w:szCs w:val="24"/>
          <w:highlight w:val="none"/>
        </w:rPr>
      </w:pPr>
      <w:r>
        <w:rPr>
          <w:rFonts w:hint="eastAsia" w:ascii="宋体" w:hAnsi="宋体"/>
          <w:sz w:val="24"/>
          <w:highlight w:val="none"/>
        </w:rPr>
        <w:t>根据</w:t>
      </w:r>
      <w:r>
        <w:rPr>
          <w:rFonts w:hint="eastAsia" w:ascii="宋体"/>
          <w:sz w:val="24"/>
          <w:highlight w:val="none"/>
        </w:rPr>
        <w:t>公司发展</w:t>
      </w:r>
      <w:r>
        <w:rPr>
          <w:rFonts w:hint="eastAsia" w:ascii="宋体" w:hAnsi="宋体"/>
          <w:sz w:val="24"/>
          <w:highlight w:val="none"/>
        </w:rPr>
        <w:t>需要，</w:t>
      </w:r>
      <w:r>
        <w:rPr>
          <w:rFonts w:hint="eastAsia" w:ascii="宋体" w:hAnsi="宋体" w:cs="宋体"/>
          <w:sz w:val="24"/>
          <w:szCs w:val="24"/>
          <w:highlight w:val="none"/>
        </w:rPr>
        <w:t>拟对</w:t>
      </w:r>
      <w:permStart w:id="4" w:edGrp="everyone"/>
      <w:r>
        <w:rPr>
          <w:rFonts w:hint="eastAsia" w:ascii="Times New Roman"/>
          <w:bCs/>
          <w:sz w:val="24"/>
          <w:u w:val="single"/>
        </w:rPr>
        <w:t>202</w:t>
      </w:r>
      <w:r>
        <w:rPr>
          <w:rFonts w:hint="eastAsia"/>
          <w:bCs/>
          <w:sz w:val="24"/>
          <w:u w:val="single"/>
          <w:lang w:val="en-US" w:eastAsia="zh-CN"/>
        </w:rPr>
        <w:t>6</w:t>
      </w:r>
      <w:r>
        <w:rPr>
          <w:rFonts w:hint="eastAsia" w:ascii="Times New Roman"/>
          <w:bCs/>
          <w:sz w:val="24"/>
          <w:u w:val="single"/>
        </w:rPr>
        <w:t>年</w:t>
      </w:r>
      <w:r>
        <w:rPr>
          <w:rFonts w:hint="eastAsia"/>
          <w:bCs/>
          <w:sz w:val="24"/>
          <w:u w:val="single"/>
          <w:lang w:eastAsia="zh-CN"/>
        </w:rPr>
        <w:t>法律</w:t>
      </w:r>
      <w:r>
        <w:rPr>
          <w:rFonts w:hint="eastAsia"/>
          <w:bCs/>
          <w:sz w:val="24"/>
          <w:u w:val="single"/>
        </w:rPr>
        <w:t>服务</w:t>
      </w:r>
      <w:r>
        <w:rPr>
          <w:rFonts w:hint="eastAsia" w:ascii="Times New Roman"/>
          <w:bCs/>
          <w:sz w:val="24"/>
          <w:u w:val="single"/>
        </w:rPr>
        <w:t>采购</w:t>
      </w:r>
      <w:r>
        <w:rPr>
          <w:rFonts w:hint="eastAsia"/>
          <w:bCs/>
          <w:sz w:val="24"/>
          <w:u w:val="single"/>
          <w:lang w:eastAsia="zh-CN"/>
        </w:rPr>
        <w:t>（</w:t>
      </w:r>
      <w:r>
        <w:rPr>
          <w:rFonts w:hint="eastAsia"/>
          <w:bCs/>
          <w:sz w:val="24"/>
          <w:u w:val="single"/>
          <w:lang w:val="en-US" w:eastAsia="zh-CN"/>
        </w:rPr>
        <w:t>第二次</w:t>
      </w:r>
      <w:r>
        <w:rPr>
          <w:rFonts w:hint="eastAsia"/>
          <w:bCs/>
          <w:sz w:val="24"/>
          <w:u w:val="single"/>
          <w:lang w:eastAsia="zh-CN"/>
        </w:rPr>
        <w:t>）</w:t>
      </w:r>
      <w:permEnd w:id="4"/>
      <w:r>
        <w:rPr>
          <w:rFonts w:hint="eastAsia" w:ascii="宋体" w:hAnsi="宋体" w:cs="宋体"/>
          <w:bCs/>
          <w:sz w:val="24"/>
          <w:szCs w:val="24"/>
          <w:highlight w:val="none"/>
        </w:rPr>
        <w:t>采用</w:t>
      </w:r>
      <w:r>
        <w:rPr>
          <w:rFonts w:hint="eastAsia" w:ascii="宋体" w:hAnsi="宋体" w:cs="宋体"/>
          <w:sz w:val="24"/>
          <w:szCs w:val="24"/>
          <w:highlight w:val="none"/>
        </w:rPr>
        <w:t>竞争性磋商方式进行采购</w:t>
      </w:r>
      <w:r>
        <w:rPr>
          <w:rFonts w:hint="eastAsia" w:ascii="宋体" w:hAnsi="宋体" w:cs="宋体"/>
          <w:sz w:val="24"/>
          <w:highlight w:val="none"/>
        </w:rPr>
        <w:t>，特邀请符合本次采购要求的供应商参加本项目的竞争性磋商。</w:t>
      </w:r>
    </w:p>
    <w:p w14:paraId="4BC38F9F">
      <w:pPr>
        <w:spacing w:line="360" w:lineRule="auto"/>
        <w:ind w:firstLine="482" w:firstLineChars="200"/>
        <w:rPr>
          <w:rFonts w:ascii="宋体" w:hAnsi="宋体" w:cs="宋体"/>
          <w:b/>
          <w:bCs/>
          <w:sz w:val="24"/>
          <w:szCs w:val="24"/>
          <w:highlight w:val="none"/>
        </w:rPr>
      </w:pPr>
      <w:bookmarkStart w:id="45" w:name="_Toc5190"/>
      <w:bookmarkStart w:id="46" w:name="_Toc6622"/>
      <w:bookmarkStart w:id="47" w:name="_Toc14836"/>
      <w:bookmarkStart w:id="48" w:name="_Toc25626"/>
      <w:bookmarkStart w:id="49" w:name="_Toc11725"/>
      <w:bookmarkStart w:id="50" w:name="_Toc14727"/>
      <w:bookmarkStart w:id="51" w:name="_Toc4608"/>
      <w:bookmarkStart w:id="52" w:name="_Toc19531"/>
      <w:bookmarkStart w:id="53" w:name="_Toc14392"/>
      <w:bookmarkStart w:id="54" w:name="_Toc23571"/>
      <w:bookmarkStart w:id="55" w:name="_Toc32000"/>
      <w:bookmarkStart w:id="56" w:name="_Toc2205"/>
      <w:bookmarkStart w:id="57" w:name="_Toc10442"/>
      <w:r>
        <w:rPr>
          <w:rFonts w:hint="eastAsia" w:ascii="宋体" w:hAnsi="宋体" w:cs="宋体"/>
          <w:b/>
          <w:bCs/>
          <w:sz w:val="24"/>
          <w:szCs w:val="24"/>
          <w:highlight w:val="none"/>
        </w:rPr>
        <w:t>一、采购项目基本情况</w:t>
      </w:r>
      <w:bookmarkEnd w:id="45"/>
      <w:bookmarkEnd w:id="46"/>
      <w:bookmarkEnd w:id="47"/>
      <w:bookmarkEnd w:id="48"/>
      <w:bookmarkEnd w:id="49"/>
      <w:bookmarkEnd w:id="50"/>
      <w:bookmarkEnd w:id="51"/>
      <w:bookmarkEnd w:id="52"/>
      <w:bookmarkEnd w:id="53"/>
      <w:bookmarkEnd w:id="54"/>
      <w:bookmarkEnd w:id="55"/>
      <w:bookmarkEnd w:id="56"/>
      <w:bookmarkEnd w:id="57"/>
    </w:p>
    <w:p w14:paraId="39B41E8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1.采购编号：</w:t>
      </w:r>
      <w:permStart w:id="5" w:edGrp="everyone"/>
      <w:r>
        <w:rPr>
          <w:rFonts w:hint="eastAsia" w:ascii="宋体" w:hAnsi="宋体" w:cs="宋体"/>
          <w:sz w:val="24"/>
          <w:szCs w:val="24"/>
          <w:highlight w:val="none"/>
          <w:lang w:val="en-US" w:eastAsia="zh-CN"/>
        </w:rPr>
        <w:t>YYCG[2025]022-1</w:t>
      </w:r>
      <w:permEnd w:id="5"/>
      <w:r>
        <w:rPr>
          <w:rFonts w:hint="eastAsia" w:ascii="宋体" w:hAnsi="宋体" w:cs="宋体"/>
          <w:sz w:val="24"/>
          <w:szCs w:val="24"/>
          <w:highlight w:val="none"/>
        </w:rPr>
        <w:t>号；</w:t>
      </w:r>
    </w:p>
    <w:p w14:paraId="170B158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2.采购项目名称：</w:t>
      </w:r>
      <w:permStart w:id="6" w:edGrp="everyone"/>
      <w:r>
        <w:rPr>
          <w:rFonts w:hint="eastAsia" w:ascii="Times New Roman"/>
          <w:bCs/>
          <w:sz w:val="24"/>
          <w:u w:val="single"/>
        </w:rPr>
        <w:t>202</w:t>
      </w:r>
      <w:r>
        <w:rPr>
          <w:rFonts w:hint="eastAsia"/>
          <w:bCs/>
          <w:sz w:val="24"/>
          <w:u w:val="single"/>
          <w:lang w:val="en-US" w:eastAsia="zh-CN"/>
        </w:rPr>
        <w:t>6</w:t>
      </w:r>
      <w:r>
        <w:rPr>
          <w:rFonts w:hint="eastAsia" w:ascii="Times New Roman"/>
          <w:bCs/>
          <w:sz w:val="24"/>
          <w:u w:val="single"/>
        </w:rPr>
        <w:t>年</w:t>
      </w:r>
      <w:r>
        <w:rPr>
          <w:rFonts w:hint="eastAsia"/>
          <w:bCs/>
          <w:sz w:val="24"/>
          <w:u w:val="single"/>
          <w:lang w:eastAsia="zh-CN"/>
        </w:rPr>
        <w:t>法律服务</w:t>
      </w:r>
      <w:r>
        <w:rPr>
          <w:rFonts w:hint="eastAsia" w:ascii="Times New Roman"/>
          <w:bCs/>
          <w:sz w:val="24"/>
          <w:u w:val="single"/>
        </w:rPr>
        <w:t>采购</w:t>
      </w:r>
      <w:r>
        <w:rPr>
          <w:rFonts w:hint="eastAsia"/>
          <w:bCs/>
          <w:sz w:val="24"/>
          <w:u w:val="single"/>
          <w:lang w:eastAsia="zh-CN"/>
        </w:rPr>
        <w:t>（</w:t>
      </w:r>
      <w:r>
        <w:rPr>
          <w:rFonts w:hint="eastAsia"/>
          <w:bCs/>
          <w:sz w:val="24"/>
          <w:u w:val="single"/>
          <w:lang w:val="en-US" w:eastAsia="zh-CN"/>
        </w:rPr>
        <w:t>第二次</w:t>
      </w:r>
      <w:r>
        <w:rPr>
          <w:rFonts w:hint="eastAsia"/>
          <w:bCs/>
          <w:sz w:val="24"/>
          <w:u w:val="single"/>
          <w:lang w:eastAsia="zh-CN"/>
        </w:rPr>
        <w:t>）</w:t>
      </w:r>
      <w:permEnd w:id="6"/>
      <w:r>
        <w:rPr>
          <w:rFonts w:hint="eastAsia"/>
          <w:sz w:val="24"/>
          <w:szCs w:val="24"/>
          <w:highlight w:val="none"/>
        </w:rPr>
        <w:t>；</w:t>
      </w:r>
    </w:p>
    <w:p w14:paraId="33C335A4">
      <w:pPr>
        <w:spacing w:line="360" w:lineRule="auto"/>
        <w:ind w:left="479" w:leftChars="228"/>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3.</w:t>
      </w:r>
      <w:r>
        <w:rPr>
          <w:rFonts w:hint="eastAsia" w:ascii="宋体" w:hAnsi="宋体" w:cs="宋体"/>
          <w:sz w:val="24"/>
          <w:szCs w:val="24"/>
          <w:highlight w:val="none"/>
          <w:lang w:bidi="ar"/>
        </w:rPr>
        <w:t>工程/服务/供货地点</w:t>
      </w:r>
      <w:r>
        <w:rPr>
          <w:rFonts w:hint="eastAsia" w:ascii="宋体" w:hAnsi="宋体" w:cs="宋体"/>
          <w:b/>
          <w:bCs/>
          <w:sz w:val="24"/>
          <w:szCs w:val="24"/>
          <w:highlight w:val="none"/>
          <w:lang w:bidi="ar"/>
        </w:rPr>
        <w:t>：</w:t>
      </w:r>
      <w:permStart w:id="7" w:edGrp="everyone"/>
      <w:r>
        <w:rPr>
          <w:rFonts w:hint="eastAsia" w:ascii="宋体" w:hAnsi="宋体" w:cs="宋体"/>
          <w:b w:val="0"/>
          <w:bCs w:val="0"/>
          <w:sz w:val="24"/>
          <w:szCs w:val="24"/>
          <w:highlight w:val="none"/>
          <w:lang w:val="en-US" w:eastAsia="zh-CN" w:bidi="ar"/>
        </w:rPr>
        <w:t>泸州市</w:t>
      </w:r>
      <w:r>
        <w:rPr>
          <w:rFonts w:hint="eastAsia" w:ascii="宋体" w:hAnsi="宋体" w:cs="宋体"/>
          <w:b w:val="0"/>
          <w:bCs w:val="0"/>
          <w:color w:val="auto"/>
          <w:sz w:val="24"/>
          <w:szCs w:val="24"/>
          <w:highlight w:val="none"/>
          <w:lang w:val="en-US" w:eastAsia="zh-CN" w:bidi="ar"/>
        </w:rPr>
        <w:t>江阳区张坝西门综合楼</w:t>
      </w:r>
      <w:permEnd w:id="7"/>
      <w:r>
        <w:rPr>
          <w:rFonts w:hint="eastAsia"/>
          <w:sz w:val="24"/>
          <w:szCs w:val="24"/>
          <w:highlight w:val="none"/>
        </w:rPr>
        <w:t>；</w:t>
      </w:r>
    </w:p>
    <w:p w14:paraId="69E5CAAF">
      <w:pPr>
        <w:spacing w:line="360" w:lineRule="auto"/>
        <w:ind w:firstLine="480" w:firstLineChars="200"/>
        <w:rPr>
          <w:rFonts w:hint="eastAsia"/>
          <w:b w:val="0"/>
          <w:bCs w:val="0"/>
          <w:sz w:val="24"/>
          <w:lang w:eastAsia="zh-CN"/>
        </w:rPr>
      </w:pPr>
      <w:r>
        <w:rPr>
          <w:rFonts w:hint="eastAsia" w:ascii="宋体" w:hAnsi="宋体" w:cs="宋体"/>
          <w:sz w:val="24"/>
          <w:szCs w:val="24"/>
          <w:highlight w:val="none"/>
        </w:rPr>
        <w:t>4.采购人：</w:t>
      </w:r>
      <w:bookmarkStart w:id="58" w:name="_Toc17430"/>
      <w:r>
        <w:rPr>
          <w:rFonts w:hint="eastAsia"/>
          <w:b w:val="0"/>
          <w:bCs w:val="0"/>
          <w:sz w:val="24"/>
          <w:lang w:eastAsia="zh-CN"/>
        </w:rPr>
        <w:t>泸州裕阳投资发展有限公司</w:t>
      </w:r>
    </w:p>
    <w:p w14:paraId="0D8274E7">
      <w:pPr>
        <w:spacing w:line="360" w:lineRule="auto"/>
        <w:ind w:firstLine="480" w:firstLineChars="200"/>
        <w:rPr>
          <w:highlight w:val="none"/>
        </w:rPr>
      </w:pPr>
      <w:r>
        <w:rPr>
          <w:rFonts w:hint="eastAsia" w:ascii="宋体" w:hAnsi="宋体" w:cs="宋体"/>
          <w:sz w:val="24"/>
          <w:szCs w:val="24"/>
          <w:highlight w:val="none"/>
        </w:rPr>
        <w:t>5.合同服务期限</w:t>
      </w:r>
      <w:r>
        <w:rPr>
          <w:rFonts w:hint="eastAsia" w:ascii="宋体" w:hAnsi="宋体" w:cs="宋体"/>
          <w:b/>
          <w:bCs/>
          <w:sz w:val="24"/>
          <w:szCs w:val="24"/>
          <w:highlight w:val="none"/>
        </w:rPr>
        <w:t>：</w:t>
      </w:r>
      <w:permStart w:id="8" w:edGrp="everyone"/>
      <w:r>
        <w:rPr>
          <w:rFonts w:hint="eastAsia" w:ascii="宋体" w:hAnsi="宋体" w:cs="宋体"/>
          <w:color w:val="auto"/>
          <w:sz w:val="24"/>
          <w:szCs w:val="24"/>
          <w:highlight w:val="none"/>
          <w:lang w:val="en-US" w:eastAsia="zh-CN"/>
        </w:rPr>
        <w:t>签订合同后服务期1年</w:t>
      </w:r>
      <w:permEnd w:id="8"/>
      <w:r>
        <w:rPr>
          <w:rFonts w:hint="eastAsia" w:ascii="宋体" w:hAnsi="宋体" w:cs="宋体"/>
          <w:sz w:val="24"/>
          <w:szCs w:val="24"/>
          <w:highlight w:val="none"/>
        </w:rPr>
        <w:t>。</w:t>
      </w:r>
      <w:bookmarkEnd w:id="58"/>
    </w:p>
    <w:p w14:paraId="1CA7A3DA">
      <w:pPr>
        <w:pStyle w:val="27"/>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二、采购预算：</w:t>
      </w:r>
      <w:permStart w:id="9" w:edGrp="everyone"/>
      <w:r>
        <w:rPr>
          <w:rFonts w:hint="eastAsia" w:ascii="宋体" w:hAnsi="宋体" w:eastAsia="宋体" w:cs="宋体"/>
          <w:color w:val="auto"/>
          <w:sz w:val="24"/>
          <w:szCs w:val="24"/>
          <w:highlight w:val="none"/>
          <w:lang w:val="en-US" w:eastAsia="zh-CN"/>
        </w:rPr>
        <w:t>常年法律顾问费：</w:t>
      </w:r>
      <w:r>
        <w:rPr>
          <w:rFonts w:hint="eastAsia" w:ascii="宋体" w:hAnsi="宋体" w:cs="宋体"/>
          <w:color w:val="auto"/>
          <w:sz w:val="24"/>
          <w:szCs w:val="24"/>
          <w:highlight w:val="none"/>
          <w:lang w:val="en-US" w:eastAsia="zh-CN"/>
        </w:rPr>
        <w:t>5万元</w:t>
      </w:r>
      <w:r>
        <w:rPr>
          <w:rFonts w:hint="eastAsia" w:ascii="宋体" w:hAnsi="宋体" w:cs="宋体"/>
          <w:color w:val="auto"/>
          <w:sz w:val="24"/>
          <w:szCs w:val="24"/>
          <w:highlight w:val="none"/>
        </w:rPr>
        <w:t>（含</w:t>
      </w:r>
      <w:r>
        <w:rPr>
          <w:rFonts w:hint="eastAsia" w:ascii="宋体" w:hAnsi="宋体" w:cs="宋体"/>
          <w:sz w:val="24"/>
          <w:szCs w:val="24"/>
          <w:highlight w:val="none"/>
        </w:rPr>
        <w:t>税）</w:t>
      </w:r>
      <w:r>
        <w:rPr>
          <w:rFonts w:hint="eastAsia" w:ascii="宋体" w:hAnsi="宋体" w:eastAsia="宋体" w:cs="宋体"/>
          <w:color w:val="auto"/>
          <w:sz w:val="24"/>
          <w:szCs w:val="24"/>
          <w:highlight w:val="none"/>
          <w:lang w:val="en-US" w:eastAsia="zh-CN"/>
        </w:rPr>
        <w:t>，专项法律服务费、诉讼案件代理费计费方式详见“第五章 采购项目技术、服务及其他商务要求”</w:t>
      </w:r>
      <w:permEnd w:id="9"/>
      <w:r>
        <w:rPr>
          <w:rFonts w:hint="eastAsia" w:ascii="宋体" w:hAnsi="宋体" w:cs="宋体"/>
          <w:sz w:val="24"/>
          <w:szCs w:val="24"/>
          <w:highlight w:val="none"/>
        </w:rPr>
        <w:t>，资金来源：</w:t>
      </w:r>
      <w:permStart w:id="10" w:edGrp="everyone"/>
      <w:r>
        <w:rPr>
          <w:rFonts w:hint="eastAsia" w:ascii="宋体" w:hAnsi="宋体" w:cs="宋体"/>
          <w:sz w:val="24"/>
          <w:szCs w:val="24"/>
          <w:highlight w:val="none"/>
          <w:lang w:val="en-US" w:eastAsia="zh-CN"/>
        </w:rPr>
        <w:t>自筹</w:t>
      </w:r>
      <w:permEnd w:id="10"/>
      <w:r>
        <w:rPr>
          <w:rFonts w:hint="eastAsia" w:ascii="宋体" w:hAnsi="宋体" w:cs="宋体"/>
          <w:b/>
          <w:bCs/>
          <w:sz w:val="24"/>
          <w:szCs w:val="24"/>
          <w:highlight w:val="none"/>
        </w:rPr>
        <w:t>。</w:t>
      </w:r>
    </w:p>
    <w:p w14:paraId="32CA8F8F">
      <w:pPr>
        <w:spacing w:line="360" w:lineRule="auto"/>
        <w:ind w:firstLine="482" w:firstLineChars="200"/>
        <w:rPr>
          <w:rFonts w:ascii="宋体" w:hAnsi="宋体" w:cs="宋体"/>
          <w:b/>
          <w:bCs/>
          <w:sz w:val="24"/>
          <w:szCs w:val="24"/>
          <w:highlight w:val="none"/>
        </w:rPr>
      </w:pPr>
      <w:bookmarkStart w:id="59" w:name="_Toc25851"/>
      <w:bookmarkStart w:id="60" w:name="_Toc1134"/>
      <w:bookmarkStart w:id="61" w:name="_Toc19097"/>
      <w:bookmarkStart w:id="62" w:name="_Toc17596"/>
      <w:bookmarkStart w:id="63" w:name="_Toc28822"/>
      <w:bookmarkStart w:id="64" w:name="_Toc19649"/>
      <w:bookmarkStart w:id="65" w:name="_Toc30340"/>
      <w:bookmarkStart w:id="66" w:name="_Toc25408"/>
      <w:bookmarkStart w:id="67" w:name="_Toc17604"/>
      <w:bookmarkStart w:id="68" w:name="_Toc16251"/>
      <w:bookmarkStart w:id="69" w:name="_Toc18675"/>
      <w:bookmarkStart w:id="70" w:name="_Toc6675"/>
      <w:bookmarkStart w:id="71" w:name="_Toc2159"/>
      <w:bookmarkStart w:id="72" w:name="_Toc11731"/>
      <w:bookmarkStart w:id="73" w:name="_Toc12541"/>
      <w:bookmarkStart w:id="74" w:name="_Toc20650"/>
      <w:bookmarkStart w:id="75" w:name="_Toc26793"/>
      <w:bookmarkStart w:id="76" w:name="_Toc3667"/>
      <w:bookmarkStart w:id="77" w:name="_Toc24555"/>
      <w:bookmarkStart w:id="78" w:name="_Toc14394"/>
      <w:bookmarkStart w:id="79" w:name="_Toc15508"/>
      <w:r>
        <w:rPr>
          <w:rFonts w:hint="eastAsia" w:ascii="宋体" w:hAnsi="宋体" w:cs="宋体"/>
          <w:b/>
          <w:bCs/>
          <w:sz w:val="24"/>
          <w:szCs w:val="24"/>
          <w:highlight w:val="none"/>
        </w:rPr>
        <w:t>三、采购项目简介</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2202734">
      <w:pPr>
        <w:spacing w:line="360" w:lineRule="auto"/>
        <w:ind w:firstLine="480" w:firstLineChars="200"/>
        <w:rPr>
          <w:rFonts w:hint="eastAsia" w:hAnsi="Arial"/>
          <w:b w:val="0"/>
          <w:bCs/>
          <w:kern w:val="2"/>
          <w:sz w:val="24"/>
          <w:szCs w:val="24"/>
        </w:rPr>
      </w:pPr>
      <w:bookmarkStart w:id="80" w:name="_Toc1737"/>
      <w:bookmarkStart w:id="81" w:name="_Toc30532"/>
      <w:bookmarkStart w:id="82" w:name="_Toc19477"/>
      <w:bookmarkStart w:id="83" w:name="_Toc8953"/>
      <w:bookmarkStart w:id="84" w:name="_Toc22827"/>
      <w:bookmarkStart w:id="85" w:name="_Toc3774"/>
      <w:bookmarkStart w:id="86" w:name="_Toc20514"/>
      <w:bookmarkStart w:id="87" w:name="_Toc17969"/>
      <w:bookmarkStart w:id="88" w:name="_Toc8534"/>
      <w:bookmarkStart w:id="89" w:name="_Toc14832"/>
      <w:bookmarkStart w:id="90" w:name="_Toc30400"/>
      <w:bookmarkStart w:id="91" w:name="_Toc1933"/>
      <w:bookmarkStart w:id="92" w:name="_Toc24679"/>
      <w:bookmarkStart w:id="93" w:name="_Toc22394"/>
      <w:bookmarkStart w:id="94" w:name="_Toc19448"/>
      <w:bookmarkStart w:id="95" w:name="_Toc8232"/>
      <w:bookmarkStart w:id="96" w:name="_Toc20162"/>
      <w:bookmarkStart w:id="97" w:name="_Toc27292"/>
      <w:bookmarkStart w:id="98" w:name="_Toc23077"/>
      <w:bookmarkStart w:id="99" w:name="_Toc2556"/>
      <w:bookmarkStart w:id="100" w:name="_Toc27848"/>
      <w:permStart w:id="11" w:edGrp="everyone"/>
      <w:r>
        <w:rPr>
          <w:rFonts w:hint="eastAsia" w:ascii="Times New Roman"/>
          <w:b w:val="0"/>
          <w:bCs w:val="0"/>
          <w:color w:val="auto"/>
          <w:sz w:val="24"/>
          <w:lang w:eastAsia="zh-CN"/>
        </w:rPr>
        <w:t>泸州裕阳投资发展有限公司</w:t>
      </w:r>
      <w:r>
        <w:rPr>
          <w:rFonts w:hint="eastAsia" w:hAnsi="Arial"/>
          <w:b w:val="0"/>
          <w:bCs/>
          <w:kern w:val="2"/>
          <w:sz w:val="24"/>
          <w:szCs w:val="24"/>
        </w:rPr>
        <w:t>拟</w:t>
      </w:r>
      <w:r>
        <w:rPr>
          <w:rFonts w:hint="eastAsia" w:ascii="宋体" w:hAnsi="宋体" w:eastAsia="宋体" w:cs="宋体"/>
          <w:color w:val="auto"/>
          <w:sz w:val="24"/>
          <w:szCs w:val="24"/>
          <w:highlight w:val="none"/>
          <w:lang w:val="en-US" w:eastAsia="zh-CN" w:bidi="ar-SA"/>
        </w:rPr>
        <w:t>对</w:t>
      </w:r>
      <w:r>
        <w:rPr>
          <w:rFonts w:hint="eastAsia" w:ascii="宋体" w:hAnsi="宋体" w:cs="宋体"/>
          <w:color w:val="auto"/>
          <w:sz w:val="24"/>
          <w:szCs w:val="24"/>
          <w:highlight w:val="none"/>
          <w:lang w:val="en-US" w:eastAsia="zh-CN" w:bidi="ar-SA"/>
        </w:rPr>
        <w:t>裕阳</w:t>
      </w:r>
      <w:r>
        <w:rPr>
          <w:rFonts w:hint="eastAsia" w:ascii="宋体" w:hAnsi="宋体" w:eastAsia="宋体" w:cs="宋体"/>
          <w:color w:val="auto"/>
          <w:sz w:val="24"/>
          <w:szCs w:val="24"/>
          <w:highlight w:val="none"/>
          <w:lang w:val="en-US" w:eastAsia="zh-CN" w:bidi="ar-SA"/>
        </w:rPr>
        <w:t>公司及下属子公司关于202</w:t>
      </w: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年法律服务进行采购</w:t>
      </w:r>
      <w:r>
        <w:rPr>
          <w:rFonts w:hint="eastAsia" w:hAnsi="Arial"/>
          <w:b w:val="0"/>
          <w:bCs/>
          <w:kern w:val="2"/>
          <w:sz w:val="24"/>
          <w:szCs w:val="24"/>
        </w:rPr>
        <w:t>，</w:t>
      </w:r>
      <w:r>
        <w:rPr>
          <w:rFonts w:hint="eastAsia" w:ascii="宋体" w:hAnsi="宋体" w:eastAsia="宋体" w:cs="宋体"/>
          <w:color w:val="auto"/>
          <w:sz w:val="24"/>
          <w:szCs w:val="24"/>
          <w:highlight w:val="none"/>
          <w:lang w:val="en-US" w:eastAsia="zh-CN" w:bidi="ar-SA"/>
        </w:rPr>
        <w:t xml:space="preserve">详见“第五章 </w:t>
      </w:r>
      <w:r>
        <w:rPr>
          <w:rFonts w:hint="eastAsia" w:ascii="宋体" w:hAnsi="宋体" w:cs="宋体"/>
          <w:color w:val="auto"/>
          <w:sz w:val="24"/>
          <w:szCs w:val="24"/>
          <w:highlight w:val="none"/>
          <w:lang w:val="en-US" w:eastAsia="zh-CN" w:bidi="ar-SA"/>
        </w:rPr>
        <w:t>采</w:t>
      </w:r>
      <w:r>
        <w:rPr>
          <w:rFonts w:hint="eastAsia" w:ascii="宋体" w:hAnsi="宋体" w:eastAsia="宋体" w:cs="宋体"/>
          <w:color w:val="auto"/>
          <w:sz w:val="24"/>
          <w:szCs w:val="24"/>
          <w:highlight w:val="none"/>
          <w:lang w:val="en-US" w:eastAsia="zh-CN"/>
        </w:rPr>
        <w:t>购项目技术、服务及其他商务要求</w:t>
      </w:r>
      <w:r>
        <w:rPr>
          <w:rFonts w:hint="eastAsia" w:ascii="宋体" w:hAnsi="宋体" w:eastAsia="宋体" w:cs="宋体"/>
          <w:color w:val="auto"/>
          <w:sz w:val="24"/>
          <w:szCs w:val="24"/>
          <w:highlight w:val="none"/>
          <w:lang w:val="en-US" w:eastAsia="zh-CN" w:bidi="ar-SA"/>
        </w:rPr>
        <w:t>”</w:t>
      </w:r>
      <w:r>
        <w:rPr>
          <w:rFonts w:hint="eastAsia" w:ascii="宋体" w:hAnsi="宋体" w:cs="宋体"/>
          <w:b/>
          <w:bCs/>
          <w:color w:val="auto"/>
          <w:sz w:val="24"/>
          <w:szCs w:val="24"/>
          <w:highlight w:val="none"/>
          <w:lang w:val="en-US" w:eastAsia="zh-CN"/>
        </w:rPr>
        <w:t xml:space="preserve">。 </w:t>
      </w:r>
    </w:p>
    <w:permEnd w:id="11"/>
    <w:p w14:paraId="23B43582">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四、供应商邀请方式</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81C5EB8">
      <w:pPr>
        <w:spacing w:line="360" w:lineRule="auto"/>
        <w:ind w:firstLine="480" w:firstLineChars="200"/>
        <w:jc w:val="left"/>
        <w:rPr>
          <w:rFonts w:ascii="宋体" w:hAnsi="宋体" w:cs="宋体"/>
          <w:bCs/>
          <w:sz w:val="24"/>
          <w:szCs w:val="24"/>
          <w:highlight w:val="none"/>
        </w:rPr>
      </w:pPr>
      <w:bookmarkStart w:id="101" w:name="PO_默认文件内容_3"/>
      <w:r>
        <w:rPr>
          <w:rFonts w:hint="eastAsia" w:ascii="宋体" w:hAnsi="宋体" w:cs="宋体"/>
          <w:bCs/>
          <w:sz w:val="24"/>
          <w:szCs w:val="24"/>
          <w:highlight w:val="none"/>
        </w:rPr>
        <w:t>本次竞争性磋商邀请在全国公共资源交易平台</w:t>
      </w:r>
      <w:r>
        <w:rPr>
          <w:rFonts w:hint="eastAsia" w:ascii="宋体" w:hAnsi="宋体" w:cs="宋体"/>
          <w:bCs/>
          <w:spacing w:val="-20"/>
          <w:sz w:val="24"/>
          <w:szCs w:val="24"/>
          <w:highlight w:val="none"/>
        </w:rPr>
        <w:t>（四川省泸州市）(http://www.lzsggzy.com</w:t>
      </w:r>
      <w:r>
        <w:rPr>
          <w:rFonts w:hint="eastAsia" w:ascii="宋体" w:hAnsi="宋体" w:cs="宋体"/>
          <w:bCs/>
          <w:sz w:val="24"/>
          <w:szCs w:val="24"/>
          <w:highlight w:val="none"/>
        </w:rPr>
        <w:t>)和泸州盛江投资发展有限公司网站（https://www.lzsjtz.com）以公告形式发布。</w:t>
      </w:r>
    </w:p>
    <w:bookmarkEnd w:id="101"/>
    <w:p w14:paraId="275F7E20">
      <w:pPr>
        <w:spacing w:line="360" w:lineRule="auto"/>
        <w:ind w:firstLine="482" w:firstLineChars="200"/>
        <w:rPr>
          <w:rFonts w:ascii="宋体" w:hAnsi="宋体" w:cs="宋体"/>
          <w:b/>
          <w:bCs/>
          <w:sz w:val="24"/>
          <w:szCs w:val="24"/>
          <w:highlight w:val="none"/>
        </w:rPr>
      </w:pPr>
      <w:bookmarkStart w:id="102" w:name="_Toc4467"/>
      <w:bookmarkStart w:id="103" w:name="_Toc28065"/>
      <w:bookmarkStart w:id="104" w:name="_Toc13383"/>
      <w:bookmarkStart w:id="105" w:name="_Toc572"/>
      <w:bookmarkStart w:id="106" w:name="_Toc3870"/>
      <w:bookmarkStart w:id="107" w:name="_Toc20402"/>
      <w:bookmarkStart w:id="108" w:name="_Toc1729"/>
      <w:bookmarkStart w:id="109" w:name="_Toc19430"/>
      <w:bookmarkStart w:id="110" w:name="_Toc1161"/>
      <w:bookmarkStart w:id="111" w:name="_Toc9504"/>
      <w:bookmarkStart w:id="112" w:name="_Toc21286"/>
      <w:bookmarkStart w:id="113" w:name="_Toc13443"/>
      <w:bookmarkStart w:id="114" w:name="_Toc13023"/>
      <w:bookmarkStart w:id="115" w:name="_Toc525"/>
      <w:bookmarkStart w:id="116" w:name="_Toc6088"/>
      <w:bookmarkStart w:id="117" w:name="_Toc17196"/>
      <w:bookmarkStart w:id="118" w:name="_Toc4993"/>
      <w:bookmarkStart w:id="119" w:name="_Toc28099"/>
      <w:bookmarkStart w:id="120" w:name="_Toc15702"/>
      <w:bookmarkStart w:id="121" w:name="_Toc18139"/>
      <w:bookmarkStart w:id="122" w:name="_Toc13062"/>
      <w:r>
        <w:rPr>
          <w:rFonts w:hint="eastAsia" w:ascii="宋体" w:hAnsi="宋体" w:cs="宋体"/>
          <w:b/>
          <w:bCs/>
          <w:sz w:val="24"/>
          <w:szCs w:val="24"/>
          <w:highlight w:val="none"/>
        </w:rPr>
        <w:t>五、供应商参加本次采购活动应具备下列条件</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F4AA1C5">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bookmarkStart w:id="123" w:name="_Toc28054"/>
      <w:bookmarkStart w:id="124" w:name="_Toc12013"/>
      <w:bookmarkStart w:id="125" w:name="_Toc6663"/>
      <w:bookmarkStart w:id="126" w:name="_Toc3716"/>
      <w:bookmarkStart w:id="127" w:name="_Toc13738"/>
      <w:bookmarkStart w:id="128" w:name="_Toc5250"/>
      <w:bookmarkStart w:id="129" w:name="_Toc2732"/>
      <w:bookmarkStart w:id="130" w:name="_Toc25679"/>
      <w:bookmarkStart w:id="131" w:name="_Toc7235"/>
      <w:bookmarkStart w:id="132" w:name="_Toc19516"/>
      <w:bookmarkStart w:id="133" w:name="_Toc855"/>
      <w:bookmarkStart w:id="134" w:name="_Toc6396"/>
      <w:bookmarkStart w:id="135" w:name="_Toc13039"/>
      <w:bookmarkStart w:id="136" w:name="_Toc20109"/>
      <w:bookmarkStart w:id="137" w:name="_Toc3277"/>
      <w:bookmarkStart w:id="138" w:name="_Toc15426"/>
      <w:bookmarkStart w:id="139" w:name="_Toc2450"/>
      <w:bookmarkStart w:id="140" w:name="_Toc14888"/>
      <w:bookmarkStart w:id="141" w:name="_Toc1564"/>
      <w:bookmarkStart w:id="142" w:name="_Toc20969"/>
      <w:bookmarkStart w:id="143" w:name="_Toc25664"/>
      <w:r>
        <w:rPr>
          <w:rFonts w:hint="eastAsia" w:ascii="宋体" w:hAnsi="宋体" w:cs="宋体"/>
          <w:spacing w:val="-2"/>
          <w:sz w:val="24"/>
          <w:szCs w:val="24"/>
          <w:highlight w:val="none"/>
        </w:rPr>
        <w:t>（一）参照《中华人民共和国政府采购法》第二十二条规定的条件：</w:t>
      </w:r>
    </w:p>
    <w:p w14:paraId="33B333BD">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1.</w:t>
      </w:r>
      <w:r>
        <w:rPr>
          <w:rFonts w:hint="eastAsia" w:ascii="宋体" w:hAnsi="宋体"/>
          <w:sz w:val="24"/>
          <w:highlight w:val="none"/>
        </w:rPr>
        <w:t>具备独立的承担民事责任能力</w:t>
      </w:r>
      <w:permStart w:id="12" w:edGrp="everyone"/>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法人）</w:t>
      </w:r>
      <w:permEnd w:id="12"/>
      <w:r>
        <w:rPr>
          <w:rFonts w:hint="eastAsia" w:ascii="宋体" w:hAnsi="宋体" w:cs="宋体"/>
          <w:spacing w:val="-2"/>
          <w:sz w:val="24"/>
          <w:szCs w:val="24"/>
          <w:highlight w:val="none"/>
        </w:rPr>
        <w:t>；</w:t>
      </w:r>
    </w:p>
    <w:p w14:paraId="6E7363D0">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2.</w:t>
      </w:r>
      <w:r>
        <w:rPr>
          <w:rFonts w:hint="eastAsia" w:ascii="宋体" w:hAnsi="宋体" w:cs="宋体"/>
          <w:spacing w:val="-2"/>
          <w:sz w:val="24"/>
          <w:szCs w:val="24"/>
          <w:highlight w:val="none"/>
        </w:rPr>
        <w:t>具有良好的商业信誉和健全的财务会计制度；</w:t>
      </w:r>
    </w:p>
    <w:p w14:paraId="2D137C10">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3.</w:t>
      </w:r>
      <w:r>
        <w:rPr>
          <w:rFonts w:hint="eastAsia" w:ascii="宋体" w:hAnsi="宋体" w:cs="宋体"/>
          <w:spacing w:val="-2"/>
          <w:sz w:val="24"/>
          <w:szCs w:val="24"/>
          <w:highlight w:val="none"/>
        </w:rPr>
        <w:t>具有履行合同所必须的设备和专业技术能力；</w:t>
      </w:r>
    </w:p>
    <w:p w14:paraId="72E73123">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4.</w:t>
      </w:r>
      <w:r>
        <w:rPr>
          <w:rFonts w:hint="eastAsia" w:ascii="宋体" w:hAnsi="宋体" w:cs="宋体"/>
          <w:spacing w:val="-2"/>
          <w:sz w:val="24"/>
          <w:szCs w:val="24"/>
          <w:highlight w:val="none"/>
        </w:rPr>
        <w:t>具有依法缴纳税收和社会保障资金的良好记录；</w:t>
      </w:r>
    </w:p>
    <w:p w14:paraId="7A23FF74">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5.</w:t>
      </w:r>
      <w:r>
        <w:rPr>
          <w:rFonts w:hint="eastAsia" w:ascii="宋体" w:hAnsi="宋体" w:cs="宋体"/>
          <w:spacing w:val="-2"/>
          <w:sz w:val="24"/>
          <w:szCs w:val="24"/>
          <w:highlight w:val="none"/>
        </w:rPr>
        <w:t>参加本次采购活动前三年内，在经营活动中没有重大违法记录；</w:t>
      </w:r>
    </w:p>
    <w:p w14:paraId="402CC81C">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6.</w:t>
      </w:r>
      <w:r>
        <w:rPr>
          <w:rFonts w:hint="eastAsia" w:ascii="宋体" w:hAnsi="宋体" w:cs="宋体"/>
          <w:spacing w:val="-2"/>
          <w:sz w:val="24"/>
          <w:szCs w:val="24"/>
          <w:highlight w:val="none"/>
        </w:rPr>
        <w:t>法律、行政法规规定的其他条件。</w:t>
      </w:r>
    </w:p>
    <w:p w14:paraId="5D3EB89A">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rPr>
        <w:t>（二）根据采购项目提出的特殊条件</w:t>
      </w:r>
    </w:p>
    <w:p w14:paraId="6CD0792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300"/>
        <w:jc w:val="both"/>
        <w:textAlignment w:val="baseline"/>
        <w:outlineLvl w:val="9"/>
        <w:rPr>
          <w:rFonts w:hint="eastAsia" w:hAnsi="宋体" w:cs="宋体"/>
          <w:bCs/>
          <w:color w:val="000000" w:themeColor="text1"/>
          <w:sz w:val="24"/>
          <w:lang w:eastAsia="zh-CN"/>
          <w14:textFill>
            <w14:solidFill>
              <w14:schemeClr w14:val="tx1"/>
            </w14:solidFill>
          </w14:textFill>
        </w:rPr>
      </w:pPr>
      <w:permStart w:id="13" w:edGrp="everyone"/>
      <w:r>
        <w:rPr>
          <w:rFonts w:hint="eastAsia" w:hAnsi="宋体" w:cs="宋体"/>
          <w:bCs/>
          <w:color w:val="000000" w:themeColor="text1"/>
          <w:sz w:val="24"/>
          <w:lang w:val="en-US" w:eastAsia="zh-CN"/>
          <w14:textFill>
            <w14:solidFill>
              <w14:schemeClr w14:val="tx1"/>
            </w14:solidFill>
          </w14:textFill>
        </w:rPr>
        <w:t>1.</w:t>
      </w:r>
      <w:r>
        <w:rPr>
          <w:rFonts w:hint="eastAsia" w:ascii="宋体" w:hAnsi="宋体" w:eastAsia="宋体" w:cs="宋体"/>
          <w:color w:val="auto"/>
          <w:spacing w:val="-2"/>
          <w:sz w:val="24"/>
          <w:szCs w:val="24"/>
          <w:highlight w:val="none"/>
          <w:lang w:val="en-US" w:eastAsia="zh-CN"/>
        </w:rPr>
        <w:t>具有</w:t>
      </w:r>
      <w:r>
        <w:rPr>
          <w:rFonts w:hint="eastAsia" w:ascii="宋体" w:hAnsi="宋体" w:eastAsia="宋体" w:cs="宋体"/>
          <w:color w:val="auto"/>
          <w:spacing w:val="-2"/>
          <w:sz w:val="24"/>
          <w:szCs w:val="24"/>
          <w:highlight w:val="none"/>
          <w:lang w:eastAsia="zh-CN"/>
        </w:rPr>
        <w:t>司法行政机关核发的的《律师事务所执业许可证》，并在有效期内</w:t>
      </w:r>
      <w:r>
        <w:rPr>
          <w:rFonts w:hint="eastAsia" w:ascii="宋体" w:hAnsi="宋体" w:eastAsia="宋体" w:cs="宋体"/>
          <w:color w:val="auto"/>
          <w:spacing w:val="-2"/>
          <w:sz w:val="24"/>
          <w:szCs w:val="24"/>
          <w:highlight w:val="none"/>
          <w:lang w:val="en-US" w:eastAsia="zh-CN"/>
        </w:rPr>
        <w:t>且年度检查考核合格。</w:t>
      </w:r>
    </w:p>
    <w:p w14:paraId="18196F18">
      <w:pPr>
        <w:kinsoku w:val="0"/>
        <w:autoSpaceDE w:val="0"/>
        <w:autoSpaceDN w:val="0"/>
        <w:adjustRightInd w:val="0"/>
        <w:snapToGrid w:val="0"/>
        <w:spacing w:line="360" w:lineRule="auto"/>
        <w:ind w:firstLine="480" w:firstLineChars="200"/>
        <w:textAlignment w:val="baseline"/>
        <w:rPr>
          <w:rFonts w:hint="eastAsia" w:hAnsi="宋体" w:eastAsia="宋体" w:cs="宋体"/>
          <w:bCs/>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2.主办律师1人，需具备5年以上执业经验；拟投入本项目的其他律师2人及以上，需具备3年以上执业经验。（执业经验年限以执业证号中正式执业的年份起算）</w:t>
      </w:r>
    </w:p>
    <w:permEnd w:id="13"/>
    <w:p w14:paraId="0A6A32E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六、禁止参加本次采购活动的供应商</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C406DB3">
      <w:pPr>
        <w:widowControl w:val="0"/>
        <w:spacing w:after="120" w:line="360" w:lineRule="auto"/>
        <w:ind w:firstLine="480" w:firstLineChars="200"/>
        <w:rPr>
          <w:b/>
          <w:bCs/>
          <w:kern w:val="2"/>
          <w:sz w:val="24"/>
          <w:szCs w:val="24"/>
          <w:highlight w:val="none"/>
        </w:rPr>
      </w:pPr>
      <w:bookmarkStart w:id="144" w:name="_Toc11640"/>
      <w:bookmarkStart w:id="145" w:name="_Toc30224"/>
      <w:bookmarkStart w:id="146" w:name="_Toc9611"/>
      <w:bookmarkStart w:id="147" w:name="_Toc5547"/>
      <w:bookmarkStart w:id="148" w:name="_Toc11839"/>
      <w:bookmarkStart w:id="149" w:name="_Toc21590"/>
      <w:bookmarkStart w:id="150" w:name="_Toc3732"/>
      <w:bookmarkStart w:id="151" w:name="_Toc7706"/>
      <w:bookmarkStart w:id="152" w:name="_Toc4521"/>
      <w:bookmarkStart w:id="153" w:name="_Toc27312"/>
      <w:bookmarkStart w:id="154" w:name="_Toc28955"/>
      <w:bookmarkStart w:id="155" w:name="_Toc19405"/>
      <w:bookmarkStart w:id="156" w:name="_Toc9411"/>
      <w:bookmarkStart w:id="157" w:name="_Toc23019"/>
      <w:bookmarkStart w:id="158" w:name="_Toc32136"/>
      <w:bookmarkStart w:id="159" w:name="_Toc1691"/>
      <w:bookmarkStart w:id="160" w:name="_Toc25051"/>
      <w:bookmarkStart w:id="161" w:name="_Toc12728"/>
      <w:bookmarkStart w:id="162" w:name="_Toc27637"/>
      <w:bookmarkStart w:id="163" w:name="_Toc3835"/>
      <w:bookmarkStart w:id="164" w:name="_Toc6140"/>
      <w:r>
        <w:rPr>
          <w:kern w:val="2"/>
          <w:sz w:val="24"/>
          <w:szCs w:val="24"/>
          <w:highlight w:val="none"/>
          <w:lang w:bidi="ar"/>
        </w:rPr>
        <w:t>1.</w:t>
      </w:r>
      <w:r>
        <w:rPr>
          <w:rFonts w:hint="eastAsia" w:ascii="宋体" w:hAnsi="宋体" w:cs="宋体"/>
          <w:kern w:val="2"/>
          <w:sz w:val="24"/>
          <w:szCs w:val="24"/>
          <w:highlight w:val="none"/>
          <w:lang w:bidi="ar"/>
        </w:rPr>
        <w:t>被裕阳公司列入不诚信供应商库的供应商，禁止报名参加本项目的采购活动（以联合体形式参加本项目采购活动，联合体成员被裕阳公司列入不诚信供应商库的，视同联合体被裕阳公司列入不诚信供应商库）。</w:t>
      </w:r>
    </w:p>
    <w:p w14:paraId="4D66F4C0">
      <w:pPr>
        <w:widowControl w:val="0"/>
        <w:spacing w:after="120" w:line="360" w:lineRule="auto"/>
        <w:ind w:firstLine="480" w:firstLineChars="200"/>
        <w:rPr>
          <w:b/>
          <w:bCs/>
          <w:kern w:val="2"/>
          <w:sz w:val="24"/>
          <w:szCs w:val="24"/>
          <w:highlight w:val="none"/>
        </w:rPr>
      </w:pPr>
      <w:r>
        <w:rPr>
          <w:kern w:val="2"/>
          <w:sz w:val="24"/>
          <w:szCs w:val="24"/>
          <w:highlight w:val="none"/>
          <w:lang w:bidi="ar"/>
        </w:rPr>
        <w:t>2.</w:t>
      </w:r>
      <w:r>
        <w:rPr>
          <w:rFonts w:hint="eastAsia" w:ascii="宋体" w:hAnsi="宋体" w:cs="宋体"/>
          <w:kern w:val="2"/>
          <w:sz w:val="24"/>
          <w:szCs w:val="24"/>
          <w:highlight w:val="none"/>
          <w:lang w:bidi="ar"/>
        </w:rPr>
        <w:t>为本采购项目提供前期设计、规范编制等服务的供应商，不得参加本次采购。供应商为采购人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14:paraId="09CDCCC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七、磋商文件获取方式、时间、地点</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5FCEBAC">
      <w:pPr>
        <w:spacing w:line="360" w:lineRule="auto"/>
        <w:ind w:firstLine="482" w:firstLineChars="200"/>
        <w:rPr>
          <w:rFonts w:hint="eastAsia" w:ascii="宋体" w:hAnsi="宋体" w:cs="宋体"/>
          <w:sz w:val="24"/>
          <w:highlight w:val="none"/>
        </w:rPr>
      </w:pPr>
      <w:bookmarkStart w:id="165" w:name="_Toc27370"/>
      <w:bookmarkStart w:id="166" w:name="_Toc15924"/>
      <w:bookmarkStart w:id="167" w:name="_Toc25243"/>
      <w:bookmarkStart w:id="168" w:name="_Toc31538"/>
      <w:bookmarkStart w:id="169" w:name="_Toc18979"/>
      <w:r>
        <w:rPr>
          <w:rFonts w:hint="eastAsia" w:ascii="宋体" w:hAnsi="宋体" w:cs="宋体"/>
          <w:b/>
          <w:bCs/>
          <w:sz w:val="24"/>
          <w:szCs w:val="24"/>
          <w:highlight w:val="none"/>
        </w:rPr>
        <w:t>磋商文件获取方式接受现场或邮件报名、获取。</w:t>
      </w:r>
    </w:p>
    <w:p w14:paraId="39561616">
      <w:pPr>
        <w:spacing w:line="360" w:lineRule="auto"/>
        <w:ind w:firstLine="422" w:firstLineChars="200"/>
        <w:rPr>
          <w:rFonts w:hint="eastAsia" w:ascii="宋体" w:hAnsi="宋体" w:cs="宋体"/>
          <w:sz w:val="24"/>
          <w:highlight w:val="none"/>
        </w:rPr>
      </w:pPr>
      <w:permStart w:id="14" w:edGrp="everyone"/>
      <w:r>
        <w:rPr>
          <w:rFonts w:hint="eastAsia"/>
          <w:b/>
          <w:bCs/>
          <w:highlight w:val="none"/>
          <w:lang w:eastAsia="zh-CN"/>
        </w:rPr>
        <w:t>□</w:t>
      </w:r>
      <w:permEnd w:id="14"/>
      <w:r>
        <w:rPr>
          <w:rFonts w:hint="eastAsia"/>
          <w:sz w:val="24"/>
          <w:highlight w:val="none"/>
        </w:rPr>
        <w:t>现场获取方式：</w:t>
      </w:r>
      <w:r>
        <w:rPr>
          <w:rFonts w:hint="eastAsia" w:ascii="宋体" w:hAnsi="宋体" w:cs="宋体"/>
          <w:sz w:val="24"/>
          <w:highlight w:val="none"/>
        </w:rPr>
        <w:t>经办人员</w:t>
      </w:r>
      <w:r>
        <w:rPr>
          <w:rFonts w:hint="eastAsia"/>
          <w:sz w:val="24"/>
          <w:highlight w:val="none"/>
        </w:rPr>
        <w:t>获取磋商文件时，</w:t>
      </w:r>
      <w:r>
        <w:rPr>
          <w:rFonts w:hint="eastAsia" w:ascii="宋体" w:hAnsi="宋体" w:cs="宋体"/>
          <w:sz w:val="24"/>
          <w:highlight w:val="none"/>
        </w:rPr>
        <w:t>于</w:t>
      </w:r>
      <w:permStart w:id="15" w:edGrp="everyone"/>
      <w:r>
        <w:rPr>
          <w:rFonts w:hint="eastAsia" w:ascii="宋体" w:hAnsi="宋体" w:cs="宋体"/>
          <w:b/>
          <w:bCs/>
          <w:sz w:val="24"/>
          <w:highlight w:val="none"/>
          <w:lang w:val="en-US" w:eastAsia="zh-CN"/>
        </w:rPr>
        <w:t>2025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18</w:t>
      </w:r>
      <w:r>
        <w:rPr>
          <w:rFonts w:hint="eastAsia" w:ascii="宋体" w:hAnsi="宋体" w:cs="宋体"/>
          <w:b/>
          <w:bCs/>
          <w:sz w:val="24"/>
          <w:highlight w:val="none"/>
        </w:rPr>
        <w:t>日</w:t>
      </w:r>
      <w:r>
        <w:rPr>
          <w:rFonts w:hint="eastAsia" w:ascii="宋体" w:hAnsi="宋体" w:cs="宋体"/>
          <w:b/>
          <w:bCs/>
          <w:sz w:val="24"/>
          <w:highlight w:val="none"/>
          <w:lang w:val="en-US" w:eastAsia="zh-CN"/>
        </w:rPr>
        <w:t>8:30</w:t>
      </w:r>
      <w:r>
        <w:rPr>
          <w:rFonts w:hint="eastAsia" w:ascii="宋体" w:hAnsi="宋体" w:cs="宋体"/>
          <w:b/>
          <w:bCs/>
          <w:sz w:val="24"/>
          <w:highlight w:val="none"/>
        </w:rPr>
        <w:t>至</w:t>
      </w:r>
      <w:r>
        <w:rPr>
          <w:rFonts w:hint="eastAsia" w:ascii="宋体" w:hAnsi="宋体" w:cs="宋体"/>
          <w:b/>
          <w:bCs/>
          <w:sz w:val="24"/>
          <w:highlight w:val="none"/>
          <w:lang w:val="en-US" w:eastAsia="zh-CN"/>
        </w:rPr>
        <w:t>2025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22</w:t>
      </w:r>
      <w:r>
        <w:rPr>
          <w:rFonts w:hint="eastAsia" w:ascii="宋体" w:hAnsi="宋体" w:cs="宋体"/>
          <w:b/>
          <w:bCs/>
          <w:sz w:val="24"/>
          <w:highlight w:val="none"/>
        </w:rPr>
        <w:t>日</w:t>
      </w:r>
      <w:r>
        <w:rPr>
          <w:rFonts w:hint="eastAsia" w:ascii="宋体" w:hAnsi="宋体" w:cs="宋体"/>
          <w:b/>
          <w:bCs/>
          <w:sz w:val="24"/>
          <w:highlight w:val="none"/>
          <w:lang w:val="en-US" w:eastAsia="zh-CN"/>
        </w:rPr>
        <w:t>17：30</w:t>
      </w:r>
      <w:permEnd w:id="15"/>
      <w:r>
        <w:rPr>
          <w:rFonts w:hint="eastAsia" w:ascii="宋体" w:hAnsi="宋体" w:cs="宋体"/>
          <w:sz w:val="24"/>
          <w:highlight w:val="none"/>
        </w:rPr>
        <w:t>（北京时间，法定节假日除外）</w:t>
      </w:r>
      <w:r>
        <w:rPr>
          <w:rFonts w:hint="eastAsia"/>
          <w:sz w:val="24"/>
          <w:highlight w:val="none"/>
        </w:rPr>
        <w:t>提交以下资料：</w:t>
      </w:r>
      <w:permStart w:id="16" w:edGrp="everyone"/>
      <w:r>
        <w:rPr>
          <w:rFonts w:hint="eastAsia"/>
          <w:sz w:val="24"/>
          <w:highlight w:val="none"/>
        </w:rPr>
        <w:t>供应商需提供报名表（详见附件）、单位</w:t>
      </w:r>
      <w:r>
        <w:rPr>
          <w:rFonts w:hint="eastAsia" w:ascii="宋体" w:hAnsi="宋体" w:cs="宋体"/>
          <w:sz w:val="24"/>
          <w:highlight w:val="none"/>
        </w:rPr>
        <w:t>营业执照复印件（加盖公章）、</w:t>
      </w:r>
      <w:r>
        <w:rPr>
          <w:rFonts w:hint="eastAsia" w:ascii="宋体" w:hAnsi="宋体" w:cs="宋体"/>
          <w:bCs/>
          <w:color w:val="000000" w:themeColor="text1"/>
          <w:sz w:val="24"/>
          <w14:textFill>
            <w14:solidFill>
              <w14:schemeClr w14:val="tx1"/>
            </w14:solidFill>
          </w14:textFill>
        </w:rPr>
        <w:t>单位介绍信（</w:t>
      </w:r>
      <w:r>
        <w:rPr>
          <w:rFonts w:hint="eastAsia" w:ascii="宋体" w:hAnsi="宋体" w:cs="宋体"/>
          <w:bCs/>
          <w:color w:val="000000" w:themeColor="text1"/>
          <w:sz w:val="24"/>
          <w:lang w:val="en-US" w:eastAsia="zh-CN"/>
          <w14:textFill>
            <w14:solidFill>
              <w14:schemeClr w14:val="tx1"/>
            </w14:solidFill>
          </w14:textFill>
        </w:rPr>
        <w:t>加盖</w:t>
      </w:r>
      <w:r>
        <w:rPr>
          <w:rFonts w:hint="eastAsia" w:hAnsi="宋体" w:cs="宋体"/>
          <w:bCs/>
          <w:color w:val="000000" w:themeColor="text1"/>
          <w:sz w:val="24"/>
          <w:lang w:eastAsia="zh-CN"/>
          <w14:textFill>
            <w14:solidFill>
              <w14:schemeClr w14:val="tx1"/>
            </w14:solidFill>
          </w14:textFill>
        </w:rPr>
        <w:t>公</w:t>
      </w:r>
      <w:r>
        <w:rPr>
          <w:rFonts w:hint="eastAsia" w:ascii="宋体" w:hAnsi="宋体" w:cs="宋体"/>
          <w:bCs/>
          <w:color w:val="000000" w:themeColor="text1"/>
          <w:sz w:val="24"/>
          <w14:textFill>
            <w14:solidFill>
              <w14:schemeClr w14:val="tx1"/>
            </w14:solidFill>
          </w14:textFill>
        </w:rPr>
        <w:t>章）</w:t>
      </w:r>
      <w:r>
        <w:rPr>
          <w:rFonts w:hint="eastAsia" w:ascii="宋体" w:hAnsi="宋体" w:cs="宋体"/>
          <w:bCs/>
          <w:color w:val="000000" w:themeColor="text1"/>
          <w:sz w:val="24"/>
          <w:lang w:eastAsia="zh-CN"/>
          <w14:textFill>
            <w14:solidFill>
              <w14:schemeClr w14:val="tx1"/>
            </w14:solidFill>
          </w14:textFill>
        </w:rPr>
        <w:t>、单位律师事务所执业许可证复印件（加盖公章）</w:t>
      </w:r>
      <w:r>
        <w:rPr>
          <w:rFonts w:hint="eastAsia" w:ascii="宋体" w:hAnsi="宋体" w:cs="宋体"/>
          <w:sz w:val="24"/>
          <w:highlight w:val="none"/>
        </w:rPr>
        <w:t>、经办人身份证明（加盖公章）</w:t>
      </w:r>
      <w:permEnd w:id="16"/>
      <w:r>
        <w:rPr>
          <w:rFonts w:hint="eastAsia" w:ascii="宋体" w:hAnsi="宋体" w:cs="宋体"/>
          <w:sz w:val="24"/>
          <w:highlight w:val="none"/>
        </w:rPr>
        <w:t>送至</w:t>
      </w:r>
      <w:permStart w:id="17" w:edGrp="everyone"/>
      <w:r>
        <w:rPr>
          <w:rFonts w:hint="eastAsia" w:ascii="宋体" w:hAnsi="宋体" w:cs="宋体"/>
          <w:sz w:val="24"/>
          <w:highlight w:val="none"/>
        </w:rPr>
        <w:t>四川省泸州市江阳区张坝</w:t>
      </w:r>
      <w:r>
        <w:rPr>
          <w:rFonts w:hint="eastAsia" w:ascii="宋体" w:hAnsi="宋体" w:cs="宋体"/>
          <w:sz w:val="24"/>
          <w:highlight w:val="none"/>
          <w:lang w:val="en-US" w:eastAsia="zh-CN"/>
        </w:rPr>
        <w:t>桂圆林</w:t>
      </w:r>
      <w:r>
        <w:rPr>
          <w:rFonts w:hint="eastAsia" w:ascii="宋体" w:hAnsi="宋体" w:cs="宋体"/>
          <w:sz w:val="24"/>
          <w:highlight w:val="none"/>
        </w:rPr>
        <w:t>西门综合楼2楼A1</w:t>
      </w:r>
      <w:r>
        <w:rPr>
          <w:rFonts w:hint="eastAsia" w:ascii="宋体" w:hAnsi="宋体" w:cs="宋体"/>
          <w:sz w:val="24"/>
          <w:highlight w:val="none"/>
          <w:lang w:val="en-US" w:eastAsia="zh-CN"/>
        </w:rPr>
        <w:t>6</w:t>
      </w:r>
      <w:permEnd w:id="17"/>
      <w:r>
        <w:rPr>
          <w:rFonts w:hint="eastAsia" w:ascii="宋体" w:hAnsi="宋体" w:cs="宋体"/>
          <w:sz w:val="24"/>
          <w:highlight w:val="none"/>
        </w:rPr>
        <w:t>；</w:t>
      </w:r>
      <w:r>
        <w:rPr>
          <w:rFonts w:hint="eastAsia"/>
          <w:sz w:val="24"/>
          <w:highlight w:val="none"/>
        </w:rPr>
        <w:t>（注：法定代表人亲自领取文件的，不需要提供</w:t>
      </w:r>
      <w:r>
        <w:rPr>
          <w:rFonts w:hint="eastAsia" w:ascii="宋体" w:hAnsi="宋体" w:cs="宋体"/>
          <w:sz w:val="24"/>
          <w:highlight w:val="none"/>
        </w:rPr>
        <w:t>单位介绍信</w:t>
      </w:r>
      <w:r>
        <w:rPr>
          <w:rFonts w:hint="eastAsia"/>
          <w:sz w:val="24"/>
          <w:highlight w:val="none"/>
        </w:rPr>
        <w:t>）</w:t>
      </w:r>
      <w:r>
        <w:rPr>
          <w:rFonts w:hint="eastAsia" w:ascii="宋体" w:hAnsi="宋体" w:cs="宋体"/>
          <w:sz w:val="24"/>
          <w:highlight w:val="none"/>
        </w:rPr>
        <w:t>。</w:t>
      </w:r>
    </w:p>
    <w:p w14:paraId="5E385DAC">
      <w:pPr>
        <w:spacing w:line="360" w:lineRule="auto"/>
        <w:ind w:firstLine="422" w:firstLineChars="200"/>
        <w:rPr>
          <w:rFonts w:hint="eastAsia" w:ascii="宋体" w:hAnsi="宋体" w:cs="宋体"/>
          <w:sz w:val="24"/>
          <w:highlight w:val="none"/>
        </w:rPr>
      </w:pPr>
      <w:permStart w:id="18" w:edGrp="everyone"/>
      <w:r>
        <w:rPr>
          <w:rFonts w:hint="eastAsia"/>
          <w:b/>
          <w:bCs/>
          <w:highlight w:val="none"/>
          <w:lang w:eastAsia="zh-CN"/>
        </w:rPr>
        <w:t>☑</w:t>
      </w:r>
      <w:permEnd w:id="18"/>
      <w:r>
        <w:rPr>
          <w:rFonts w:hint="eastAsia"/>
          <w:sz w:val="24"/>
          <w:highlight w:val="none"/>
        </w:rPr>
        <w:t>邮箱获取方式：</w:t>
      </w:r>
      <w:r>
        <w:rPr>
          <w:rFonts w:hint="eastAsia" w:ascii="宋体" w:hAnsi="宋体" w:cs="宋体"/>
          <w:sz w:val="24"/>
          <w:highlight w:val="none"/>
        </w:rPr>
        <w:t>经办人员</w:t>
      </w:r>
      <w:r>
        <w:rPr>
          <w:rFonts w:hint="eastAsia"/>
          <w:sz w:val="24"/>
          <w:highlight w:val="none"/>
        </w:rPr>
        <w:t>获取磋商文件时，</w:t>
      </w:r>
      <w:r>
        <w:rPr>
          <w:rFonts w:hint="eastAsia" w:ascii="宋体" w:hAnsi="宋体" w:cs="宋体"/>
          <w:sz w:val="24"/>
          <w:highlight w:val="none"/>
        </w:rPr>
        <w:t>于</w:t>
      </w:r>
      <w:permStart w:id="19" w:edGrp="everyone"/>
      <w:r>
        <w:rPr>
          <w:rFonts w:hint="eastAsia" w:ascii="宋体" w:hAnsi="宋体" w:cs="宋体"/>
          <w:b/>
          <w:bCs/>
          <w:sz w:val="24"/>
          <w:highlight w:val="none"/>
          <w:lang w:val="en-US" w:eastAsia="zh-CN"/>
        </w:rPr>
        <w:t>2025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18</w:t>
      </w:r>
      <w:r>
        <w:rPr>
          <w:rFonts w:hint="eastAsia" w:ascii="宋体" w:hAnsi="宋体" w:cs="宋体"/>
          <w:b/>
          <w:bCs/>
          <w:sz w:val="24"/>
          <w:highlight w:val="none"/>
        </w:rPr>
        <w:t>日</w:t>
      </w:r>
      <w:r>
        <w:rPr>
          <w:rFonts w:hint="eastAsia" w:ascii="宋体" w:hAnsi="宋体" w:cs="宋体"/>
          <w:b/>
          <w:bCs/>
          <w:sz w:val="24"/>
          <w:highlight w:val="none"/>
          <w:lang w:val="en-US" w:eastAsia="zh-CN"/>
        </w:rPr>
        <w:t>8:30</w:t>
      </w:r>
      <w:r>
        <w:rPr>
          <w:rFonts w:hint="eastAsia" w:ascii="宋体" w:hAnsi="宋体" w:cs="宋体"/>
          <w:b/>
          <w:bCs/>
          <w:sz w:val="24"/>
          <w:highlight w:val="none"/>
        </w:rPr>
        <w:t>至</w:t>
      </w:r>
      <w:r>
        <w:rPr>
          <w:rFonts w:hint="eastAsia" w:ascii="宋体" w:hAnsi="宋体" w:cs="宋体"/>
          <w:b/>
          <w:bCs/>
          <w:sz w:val="24"/>
          <w:highlight w:val="none"/>
          <w:lang w:val="en-US" w:eastAsia="zh-CN"/>
        </w:rPr>
        <w:t>2025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22</w:t>
      </w:r>
      <w:r>
        <w:rPr>
          <w:rFonts w:hint="eastAsia" w:ascii="宋体" w:hAnsi="宋体" w:cs="宋体"/>
          <w:b/>
          <w:bCs/>
          <w:sz w:val="24"/>
          <w:highlight w:val="none"/>
        </w:rPr>
        <w:t>日</w:t>
      </w:r>
      <w:r>
        <w:rPr>
          <w:rFonts w:hint="eastAsia" w:ascii="宋体" w:hAnsi="宋体" w:cs="宋体"/>
          <w:b/>
          <w:bCs/>
          <w:sz w:val="24"/>
          <w:highlight w:val="none"/>
          <w:lang w:val="en-US" w:eastAsia="zh-CN"/>
        </w:rPr>
        <w:t>17：30</w:t>
      </w:r>
      <w:permEnd w:id="19"/>
      <w:r>
        <w:rPr>
          <w:rFonts w:hint="eastAsia" w:ascii="宋体" w:hAnsi="宋体" w:cs="宋体"/>
          <w:sz w:val="24"/>
          <w:highlight w:val="none"/>
        </w:rPr>
        <w:t>（北京时间，法定节假日除外）</w:t>
      </w:r>
      <w:r>
        <w:rPr>
          <w:rFonts w:hint="eastAsia"/>
          <w:sz w:val="24"/>
          <w:highlight w:val="none"/>
        </w:rPr>
        <w:t>提交以下资料的扫描件：</w:t>
      </w:r>
      <w:permStart w:id="20" w:edGrp="everyone"/>
      <w:r>
        <w:rPr>
          <w:rFonts w:hint="eastAsia"/>
          <w:sz w:val="24"/>
          <w:highlight w:val="none"/>
        </w:rPr>
        <w:t>供应商需提供报名表（详见附件）、单位</w:t>
      </w:r>
      <w:r>
        <w:rPr>
          <w:rFonts w:hint="eastAsia" w:ascii="宋体" w:hAnsi="宋体" w:cs="宋体"/>
          <w:sz w:val="24"/>
          <w:highlight w:val="none"/>
        </w:rPr>
        <w:t>营业执照复印件（加盖公章）、</w:t>
      </w:r>
      <w:r>
        <w:rPr>
          <w:rFonts w:hint="eastAsia" w:ascii="宋体" w:hAnsi="宋体" w:cs="宋体"/>
          <w:bCs/>
          <w:color w:val="000000" w:themeColor="text1"/>
          <w:sz w:val="24"/>
          <w14:textFill>
            <w14:solidFill>
              <w14:schemeClr w14:val="tx1"/>
            </w14:solidFill>
          </w14:textFill>
        </w:rPr>
        <w:t>单位介绍信（</w:t>
      </w:r>
      <w:r>
        <w:rPr>
          <w:rFonts w:hint="eastAsia" w:ascii="宋体" w:hAnsi="宋体" w:cs="宋体"/>
          <w:bCs/>
          <w:color w:val="000000" w:themeColor="text1"/>
          <w:sz w:val="24"/>
          <w:lang w:val="en-US" w:eastAsia="zh-CN"/>
          <w14:textFill>
            <w14:solidFill>
              <w14:schemeClr w14:val="tx1"/>
            </w14:solidFill>
          </w14:textFill>
        </w:rPr>
        <w:t>加盖</w:t>
      </w:r>
      <w:r>
        <w:rPr>
          <w:rFonts w:hint="eastAsia" w:hAnsi="宋体" w:cs="宋体"/>
          <w:bCs/>
          <w:color w:val="000000" w:themeColor="text1"/>
          <w:sz w:val="24"/>
          <w:lang w:eastAsia="zh-CN"/>
          <w14:textFill>
            <w14:solidFill>
              <w14:schemeClr w14:val="tx1"/>
            </w14:solidFill>
          </w14:textFill>
        </w:rPr>
        <w:t>公</w:t>
      </w:r>
      <w:r>
        <w:rPr>
          <w:rFonts w:hint="eastAsia" w:ascii="宋体" w:hAnsi="宋体" w:cs="宋体"/>
          <w:bCs/>
          <w:color w:val="000000" w:themeColor="text1"/>
          <w:sz w:val="24"/>
          <w14:textFill>
            <w14:solidFill>
              <w14:schemeClr w14:val="tx1"/>
            </w14:solidFill>
          </w14:textFill>
        </w:rPr>
        <w:t>章）</w:t>
      </w:r>
      <w:r>
        <w:rPr>
          <w:rFonts w:hint="eastAsia" w:ascii="宋体" w:hAnsi="宋体" w:cs="宋体"/>
          <w:bCs/>
          <w:color w:val="000000" w:themeColor="text1"/>
          <w:sz w:val="24"/>
          <w:lang w:eastAsia="zh-CN"/>
          <w14:textFill>
            <w14:solidFill>
              <w14:schemeClr w14:val="tx1"/>
            </w14:solidFill>
          </w14:textFill>
        </w:rPr>
        <w:t>、单位律师事务所执业许可证复印件（加盖公章）</w:t>
      </w:r>
      <w:r>
        <w:rPr>
          <w:rFonts w:hint="eastAsia" w:ascii="宋体" w:hAnsi="宋体" w:cs="宋体"/>
          <w:sz w:val="24"/>
          <w:highlight w:val="none"/>
        </w:rPr>
        <w:t>、经办人身份证明（加盖公章）</w:t>
      </w:r>
      <w:permEnd w:id="20"/>
      <w:r>
        <w:rPr>
          <w:rFonts w:hint="eastAsia" w:ascii="宋体" w:hAnsi="宋体" w:cs="宋体"/>
          <w:sz w:val="24"/>
          <w:highlight w:val="none"/>
        </w:rPr>
        <w:t>送至</w:t>
      </w:r>
      <w:permStart w:id="21" w:edGrp="everyone"/>
      <w:r>
        <w:rPr>
          <w:rFonts w:hint="eastAsia" w:ascii="宋体" w:hAnsi="宋体" w:cs="宋体"/>
          <w:b/>
          <w:bCs/>
          <w:sz w:val="24"/>
          <w:highlight w:val="none"/>
        </w:rPr>
        <w:t>lzyycg@163.com</w:t>
      </w:r>
      <w:permEnd w:id="21"/>
      <w:r>
        <w:rPr>
          <w:rFonts w:hint="eastAsia"/>
          <w:sz w:val="24"/>
          <w:highlight w:val="none"/>
        </w:rPr>
        <w:t>；（注：法定代表人亲自领取文件的，不需要提供</w:t>
      </w:r>
      <w:r>
        <w:rPr>
          <w:rFonts w:hint="eastAsia" w:ascii="宋体" w:hAnsi="宋体" w:cs="宋体"/>
          <w:sz w:val="24"/>
          <w:highlight w:val="none"/>
        </w:rPr>
        <w:t>单位介绍信</w:t>
      </w:r>
      <w:r>
        <w:rPr>
          <w:rFonts w:hint="eastAsia"/>
          <w:sz w:val="24"/>
          <w:highlight w:val="none"/>
        </w:rPr>
        <w:t>）</w:t>
      </w:r>
    </w:p>
    <w:p w14:paraId="69DE50BE">
      <w:pPr>
        <w:spacing w:line="360" w:lineRule="auto"/>
        <w:ind w:firstLine="480" w:firstLineChars="200"/>
        <w:rPr>
          <w:rFonts w:ascii="宋体" w:hAnsi="宋体" w:cs="宋体"/>
          <w:sz w:val="24"/>
          <w:highlight w:val="none"/>
        </w:rPr>
      </w:pPr>
      <w:r>
        <w:rPr>
          <w:rFonts w:hint="eastAsia" w:ascii="宋体" w:hAnsi="宋体" w:cs="宋体"/>
          <w:sz w:val="24"/>
          <w:highlight w:val="none"/>
        </w:rPr>
        <w:t>磋商文件免费获取，投标资格不能转让。</w:t>
      </w:r>
    </w:p>
    <w:p w14:paraId="700DCB6D">
      <w:pPr>
        <w:spacing w:line="360" w:lineRule="auto"/>
        <w:ind w:firstLine="482" w:firstLineChars="200"/>
        <w:rPr>
          <w:rFonts w:ascii="宋体" w:hAnsi="宋体" w:cs="宋体"/>
          <w:b/>
          <w:bCs/>
          <w:sz w:val="24"/>
          <w:szCs w:val="24"/>
          <w:highlight w:val="none"/>
        </w:rPr>
      </w:pPr>
      <w:bookmarkStart w:id="170" w:name="_Toc31713"/>
      <w:bookmarkStart w:id="171" w:name="_Toc2241"/>
      <w:bookmarkStart w:id="172" w:name="_Toc17361"/>
      <w:bookmarkStart w:id="173" w:name="_Toc3785"/>
      <w:bookmarkStart w:id="174" w:name="_Toc17356"/>
      <w:bookmarkStart w:id="175" w:name="_Toc4168"/>
      <w:bookmarkStart w:id="176" w:name="_Toc21368"/>
      <w:bookmarkStart w:id="177" w:name="_Toc15243"/>
      <w:bookmarkStart w:id="178" w:name="_Toc27966"/>
      <w:bookmarkStart w:id="179" w:name="_Toc8486"/>
      <w:bookmarkStart w:id="180" w:name="_Toc20636"/>
      <w:bookmarkStart w:id="181" w:name="_Toc22578"/>
      <w:bookmarkStart w:id="182" w:name="_Toc2276"/>
      <w:bookmarkStart w:id="183" w:name="_Toc21937"/>
      <w:bookmarkStart w:id="184" w:name="_Toc20311"/>
      <w:bookmarkStart w:id="185" w:name="_Toc11695"/>
      <w:r>
        <w:rPr>
          <w:rFonts w:hint="eastAsia" w:ascii="宋体" w:hAnsi="宋体" w:cs="宋体"/>
          <w:b/>
          <w:bCs/>
          <w:sz w:val="24"/>
          <w:szCs w:val="24"/>
          <w:highlight w:val="none"/>
        </w:rPr>
        <w:t>八、递交响应文件截止时间</w:t>
      </w:r>
      <w:bookmarkEnd w:id="165"/>
      <w:bookmarkEnd w:id="166"/>
      <w:bookmarkEnd w:id="167"/>
      <w:bookmarkEnd w:id="168"/>
      <w:bookmarkEnd w:id="169"/>
      <w:r>
        <w:rPr>
          <w:rFonts w:hint="eastAsia" w:ascii="宋体" w:hAnsi="宋体" w:cs="宋体"/>
          <w:b/>
          <w:bCs/>
          <w:sz w:val="24"/>
          <w:szCs w:val="24"/>
          <w:highlight w:val="none"/>
        </w:rPr>
        <w:t>、地点</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23F2091">
      <w:pPr>
        <w:spacing w:line="360" w:lineRule="auto"/>
        <w:ind w:firstLine="480"/>
        <w:jc w:val="left"/>
        <w:rPr>
          <w:rFonts w:ascii="宋体" w:hAnsi="宋体" w:cs="宋体"/>
          <w:sz w:val="24"/>
          <w:szCs w:val="24"/>
          <w:highlight w:val="none"/>
        </w:rPr>
      </w:pPr>
      <w:bookmarkStart w:id="186" w:name="PO_默认文件内容_7"/>
      <w:r>
        <w:rPr>
          <w:rFonts w:hint="eastAsia" w:ascii="宋体" w:hAnsi="宋体" w:cs="宋体"/>
          <w:sz w:val="24"/>
          <w:szCs w:val="24"/>
          <w:highlight w:val="none"/>
        </w:rPr>
        <w:t>响应文件必须在递交响应文件截止时间</w:t>
      </w:r>
      <w:permStart w:id="22" w:edGrp="everyone"/>
      <w:r>
        <w:rPr>
          <w:rFonts w:hint="eastAsia" w:ascii="宋体" w:hAnsi="宋体" w:cs="宋体"/>
          <w:b/>
          <w:bCs/>
          <w:sz w:val="24"/>
          <w:szCs w:val="24"/>
          <w:highlight w:val="none"/>
          <w:lang w:val="en-US" w:eastAsia="zh-CN"/>
        </w:rPr>
        <w:t>2025</w:t>
      </w:r>
      <w:r>
        <w:rPr>
          <w:rFonts w:hint="eastAsia" w:ascii="宋体" w:hAnsi="宋体" w:cs="宋体"/>
          <w:b/>
          <w:bCs/>
          <w:sz w:val="24"/>
          <w:szCs w:val="24"/>
          <w:highlight w:val="none"/>
        </w:rPr>
        <w:t>年</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28</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9:30</w:t>
      </w:r>
      <w:permEnd w:id="22"/>
      <w:r>
        <w:rPr>
          <w:rFonts w:hint="eastAsia" w:ascii="宋体" w:hAnsi="宋体" w:cs="宋体"/>
          <w:sz w:val="24"/>
          <w:szCs w:val="24"/>
          <w:highlight w:val="none"/>
        </w:rPr>
        <w:t>前送达磋商地点。</w:t>
      </w:r>
      <w:r>
        <w:rPr>
          <w:rFonts w:hint="eastAsia" w:ascii="宋体" w:hAnsi="宋体"/>
          <w:sz w:val="24"/>
          <w:highlight w:val="none"/>
        </w:rPr>
        <w:t>逾期送达、密封和标注错误的响应文件，采购人恕不接收</w:t>
      </w:r>
      <w:r>
        <w:rPr>
          <w:rFonts w:hint="eastAsia" w:ascii="宋体" w:hAnsi="宋体" w:cs="宋体"/>
          <w:sz w:val="24"/>
          <w:szCs w:val="24"/>
          <w:highlight w:val="none"/>
        </w:rPr>
        <w:t>。本次采购不接收邮寄的响应文件。</w:t>
      </w:r>
      <w:bookmarkEnd w:id="186"/>
    </w:p>
    <w:p w14:paraId="3EEE39DB">
      <w:pPr>
        <w:numPr>
          <w:ilvl w:val="0"/>
          <w:numId w:val="1"/>
        </w:numPr>
        <w:spacing w:line="360" w:lineRule="auto"/>
        <w:ind w:firstLine="482" w:firstLineChars="200"/>
        <w:rPr>
          <w:rFonts w:ascii="宋体" w:hAnsi="宋体" w:cs="宋体"/>
          <w:sz w:val="24"/>
          <w:szCs w:val="24"/>
          <w:highlight w:val="none"/>
        </w:rPr>
      </w:pPr>
      <w:bookmarkStart w:id="187" w:name="_Toc20812"/>
      <w:bookmarkStart w:id="188" w:name="_Toc2480"/>
      <w:bookmarkStart w:id="189" w:name="_Toc25490"/>
      <w:bookmarkStart w:id="190" w:name="_Toc20081"/>
      <w:bookmarkStart w:id="191" w:name="_Toc30081"/>
      <w:bookmarkStart w:id="192" w:name="_Toc27672"/>
      <w:bookmarkStart w:id="193" w:name="_Toc10845"/>
      <w:bookmarkStart w:id="194" w:name="_Toc29214"/>
      <w:bookmarkStart w:id="195" w:name="_Toc22615"/>
      <w:bookmarkStart w:id="196" w:name="_Toc23786"/>
      <w:bookmarkStart w:id="197" w:name="_Toc21929"/>
      <w:bookmarkStart w:id="198" w:name="_Toc694"/>
      <w:bookmarkStart w:id="199" w:name="_Toc17175"/>
      <w:bookmarkStart w:id="200" w:name="_Toc18791"/>
      <w:bookmarkStart w:id="201" w:name="_Toc21174"/>
      <w:bookmarkStart w:id="202" w:name="_Toc20831"/>
      <w:bookmarkStart w:id="203" w:name="_Toc16314"/>
      <w:bookmarkStart w:id="204" w:name="_Toc27544"/>
      <w:bookmarkStart w:id="205" w:name="_Toc31098"/>
      <w:bookmarkStart w:id="206" w:name="_Toc6588"/>
      <w:bookmarkStart w:id="207" w:name="_Toc27273"/>
      <w:r>
        <w:rPr>
          <w:rFonts w:hint="eastAsia" w:ascii="宋体" w:hAnsi="宋体" w:cs="宋体"/>
          <w:b/>
          <w:bCs/>
          <w:sz w:val="24"/>
          <w:szCs w:val="24"/>
          <w:highlight w:val="none"/>
        </w:rPr>
        <w:t>响应文件开启时间</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Start w:id="208" w:name="PO_投标文件递交截止时间_3"/>
      <w:r>
        <w:rPr>
          <w:rFonts w:hint="eastAsia" w:ascii="宋体" w:hAnsi="宋体" w:cs="宋体"/>
          <w:b/>
          <w:bCs/>
          <w:sz w:val="24"/>
          <w:szCs w:val="24"/>
          <w:highlight w:val="none"/>
        </w:rPr>
        <w:t>:</w:t>
      </w:r>
      <w:bookmarkEnd w:id="208"/>
      <w:permStart w:id="23" w:edGrp="everyone"/>
      <w:r>
        <w:rPr>
          <w:rFonts w:hint="eastAsia" w:ascii="宋体" w:hAnsi="宋体" w:cs="宋体"/>
          <w:b/>
          <w:bCs/>
          <w:sz w:val="24"/>
          <w:szCs w:val="24"/>
          <w:highlight w:val="none"/>
          <w:lang w:val="en-US" w:eastAsia="zh-CN"/>
        </w:rPr>
        <w:t>2025</w:t>
      </w:r>
      <w:r>
        <w:rPr>
          <w:rFonts w:hint="eastAsia" w:ascii="宋体" w:hAnsi="宋体" w:cs="宋体"/>
          <w:b/>
          <w:bCs/>
          <w:sz w:val="24"/>
          <w:szCs w:val="24"/>
          <w:highlight w:val="none"/>
        </w:rPr>
        <w:t>年</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28</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9:30</w:t>
      </w:r>
      <w:permEnd w:id="23"/>
      <w:r>
        <w:rPr>
          <w:rFonts w:hint="eastAsia" w:ascii="宋体" w:hAnsi="宋体" w:cs="宋体"/>
          <w:sz w:val="24"/>
          <w:szCs w:val="24"/>
          <w:highlight w:val="none"/>
        </w:rPr>
        <w:t>（北京时间）在磋商地点开启。</w:t>
      </w:r>
    </w:p>
    <w:p w14:paraId="3D219B5B">
      <w:pPr>
        <w:numPr>
          <w:ilvl w:val="0"/>
          <w:numId w:val="1"/>
        </w:numPr>
        <w:spacing w:line="360" w:lineRule="auto"/>
        <w:ind w:firstLine="482" w:firstLineChars="200"/>
        <w:rPr>
          <w:rFonts w:ascii="宋体" w:hAnsi="宋体" w:cs="宋体"/>
          <w:b/>
          <w:bCs/>
          <w:sz w:val="24"/>
          <w:szCs w:val="24"/>
          <w:highlight w:val="none"/>
        </w:rPr>
      </w:pPr>
      <w:bookmarkStart w:id="209" w:name="_Toc16645"/>
      <w:bookmarkStart w:id="210" w:name="_Toc27903"/>
      <w:bookmarkStart w:id="211" w:name="_Toc6490"/>
      <w:bookmarkStart w:id="212" w:name="_Toc10196"/>
      <w:bookmarkStart w:id="213" w:name="_Toc1440"/>
      <w:bookmarkStart w:id="214" w:name="_Toc23017"/>
      <w:bookmarkStart w:id="215" w:name="_Toc14067"/>
      <w:bookmarkStart w:id="216" w:name="_Toc21065"/>
      <w:bookmarkStart w:id="217" w:name="_Toc91"/>
      <w:bookmarkStart w:id="218" w:name="_Toc15513"/>
      <w:bookmarkStart w:id="219" w:name="_Toc9989"/>
      <w:bookmarkStart w:id="220" w:name="_Toc17425"/>
      <w:bookmarkStart w:id="221" w:name="_Toc28684"/>
      <w:bookmarkStart w:id="222" w:name="_Toc4751"/>
      <w:bookmarkStart w:id="223" w:name="_Toc17293"/>
      <w:bookmarkStart w:id="224" w:name="_Toc14970"/>
      <w:bookmarkStart w:id="225" w:name="_Toc4652"/>
      <w:bookmarkStart w:id="226" w:name="_Toc6046"/>
      <w:bookmarkStart w:id="227" w:name="_Toc93"/>
      <w:bookmarkStart w:id="228" w:name="_Toc11724"/>
      <w:bookmarkStart w:id="229" w:name="_Toc10738"/>
      <w:r>
        <w:rPr>
          <w:rFonts w:hint="eastAsia" w:ascii="宋体" w:hAnsi="宋体" w:cs="宋体"/>
          <w:b/>
          <w:bCs/>
          <w:sz w:val="24"/>
          <w:szCs w:val="24"/>
          <w:highlight w:val="none"/>
        </w:rPr>
        <w:t>磋商地点</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7B688F9">
      <w:pPr>
        <w:spacing w:line="360" w:lineRule="auto"/>
        <w:ind w:firstLine="480" w:firstLineChars="200"/>
        <w:rPr>
          <w:rFonts w:hint="eastAsia" w:ascii="宋体" w:hAnsi="宋体" w:cs="宋体"/>
          <w:sz w:val="24"/>
          <w:szCs w:val="24"/>
          <w:highlight w:val="none"/>
        </w:rPr>
      </w:pPr>
      <w:bookmarkStart w:id="230" w:name="_Toc17958"/>
      <w:bookmarkStart w:id="231" w:name="_Toc28049"/>
      <w:bookmarkStart w:id="232" w:name="_Toc6010"/>
      <w:bookmarkStart w:id="233" w:name="_Toc18806"/>
      <w:bookmarkStart w:id="234" w:name="_Toc19413"/>
      <w:bookmarkStart w:id="235" w:name="_Toc13694"/>
      <w:bookmarkStart w:id="236" w:name="_Toc26850"/>
      <w:bookmarkStart w:id="237" w:name="_Toc25649"/>
      <w:bookmarkStart w:id="238" w:name="_Toc24695"/>
      <w:bookmarkStart w:id="239" w:name="_Toc22441"/>
      <w:bookmarkStart w:id="240" w:name="_Toc31142"/>
      <w:bookmarkStart w:id="241" w:name="_Toc28108"/>
      <w:bookmarkStart w:id="242" w:name="_Toc4062"/>
      <w:bookmarkStart w:id="243" w:name="_Toc24106"/>
      <w:bookmarkStart w:id="244" w:name="_Toc26428"/>
      <w:bookmarkStart w:id="245" w:name="_Toc23453"/>
      <w:bookmarkStart w:id="246" w:name="_Toc20510"/>
      <w:bookmarkStart w:id="247" w:name="_Toc17002"/>
      <w:bookmarkStart w:id="248" w:name="_Toc31615"/>
      <w:bookmarkStart w:id="249" w:name="_Toc18317"/>
      <w:bookmarkStart w:id="250" w:name="_Toc13250"/>
      <w:bookmarkStart w:id="251" w:name="_Toc11847"/>
      <w:r>
        <w:rPr>
          <w:rFonts w:hint="eastAsia" w:ascii="宋体" w:hAnsi="宋体" w:cs="宋体"/>
          <w:sz w:val="24"/>
          <w:szCs w:val="24"/>
          <w:highlight w:val="none"/>
        </w:rPr>
        <w:t>四川省泸州市江阳区张坝</w:t>
      </w:r>
      <w:r>
        <w:rPr>
          <w:rFonts w:hint="eastAsia" w:ascii="宋体" w:hAnsi="宋体" w:cs="宋体"/>
          <w:sz w:val="24"/>
          <w:szCs w:val="24"/>
          <w:highlight w:val="none"/>
          <w:lang w:val="en-US" w:eastAsia="zh-CN"/>
        </w:rPr>
        <w:t>桂圆林</w:t>
      </w:r>
      <w:r>
        <w:rPr>
          <w:rFonts w:hint="eastAsia" w:ascii="宋体" w:hAnsi="宋体" w:cs="宋体"/>
          <w:sz w:val="24"/>
          <w:szCs w:val="24"/>
          <w:highlight w:val="none"/>
        </w:rPr>
        <w:t>西门综合楼2楼第二会议室</w:t>
      </w:r>
      <w:bookmarkEnd w:id="230"/>
      <w:bookmarkEnd w:id="231"/>
      <w:bookmarkEnd w:id="232"/>
    </w:p>
    <w:p w14:paraId="78A91BBC">
      <w:pPr>
        <w:spacing w:line="360" w:lineRule="auto"/>
        <w:ind w:firstLine="482" w:firstLineChars="200"/>
        <w:rPr>
          <w:rFonts w:ascii="宋体" w:hAnsi="宋体" w:cs="宋体"/>
          <w:b/>
          <w:bCs/>
          <w:sz w:val="24"/>
          <w:szCs w:val="24"/>
          <w:highlight w:val="none"/>
        </w:rPr>
      </w:pPr>
      <w:bookmarkStart w:id="252" w:name="_Toc17429"/>
      <w:bookmarkStart w:id="253" w:name="_Toc28022"/>
      <w:r>
        <w:rPr>
          <w:rFonts w:hint="eastAsia" w:ascii="宋体" w:hAnsi="宋体" w:cs="宋体"/>
          <w:b/>
          <w:bCs/>
          <w:sz w:val="24"/>
          <w:szCs w:val="24"/>
          <w:highlight w:val="none"/>
        </w:rPr>
        <w:t>十一、联系方式</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0A33E11">
      <w:pPr>
        <w:pStyle w:val="28"/>
        <w:spacing w:line="360" w:lineRule="auto"/>
        <w:ind w:firstLine="480" w:firstLineChars="200"/>
        <w:rPr>
          <w:rFonts w:ascii="宋体" w:hAnsi="宋体" w:cs="宋体"/>
          <w:b/>
          <w:bCs/>
          <w:sz w:val="32"/>
          <w:szCs w:val="32"/>
          <w:highlight w:val="none"/>
        </w:rPr>
      </w:pPr>
      <w:r>
        <w:rPr>
          <w:rFonts w:hint="eastAsia" w:ascii="宋体" w:hAnsi="宋体" w:cs="宋体"/>
          <w:bCs/>
          <w:sz w:val="24"/>
          <w:szCs w:val="24"/>
          <w:highlight w:val="none"/>
        </w:rPr>
        <w:t>采购人：</w:t>
      </w:r>
      <w:permStart w:id="24" w:edGrp="everyone"/>
      <w:r>
        <w:rPr>
          <w:rFonts w:hint="eastAsia" w:ascii="宋体" w:hAnsi="宋体" w:cs="Times New Roman"/>
          <w:sz w:val="24"/>
          <w:szCs w:val="24"/>
          <w:highlight w:val="none"/>
          <w:lang w:val="zh-CN" w:eastAsia="zh-CN" w:bidi="ar-SA"/>
        </w:rPr>
        <w:t>泸州裕阳投资发展有限公司</w:t>
      </w:r>
    </w:p>
    <w:permEnd w:id="24"/>
    <w:p w14:paraId="3B21B10E">
      <w:pPr>
        <w:pStyle w:val="28"/>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通讯地址：</w:t>
      </w:r>
      <w:permStart w:id="25" w:edGrp="everyone"/>
      <w:r>
        <w:rPr>
          <w:rFonts w:hint="eastAsia" w:ascii="宋体" w:hAnsi="宋体" w:cs="宋体"/>
          <w:sz w:val="24"/>
          <w:szCs w:val="24"/>
          <w:highlight w:val="none"/>
        </w:rPr>
        <w:t>四川省泸州市江阳区张坝</w:t>
      </w:r>
      <w:r>
        <w:rPr>
          <w:rFonts w:hint="eastAsia" w:ascii="宋体" w:hAnsi="宋体" w:cs="宋体"/>
          <w:sz w:val="24"/>
          <w:szCs w:val="24"/>
          <w:highlight w:val="none"/>
          <w:lang w:val="en-US" w:eastAsia="zh-CN"/>
        </w:rPr>
        <w:t>桂圆林</w:t>
      </w:r>
      <w:r>
        <w:rPr>
          <w:rFonts w:hint="eastAsia" w:ascii="宋体" w:hAnsi="宋体" w:cs="宋体"/>
          <w:sz w:val="24"/>
          <w:szCs w:val="24"/>
          <w:highlight w:val="none"/>
        </w:rPr>
        <w:t>西门综</w:t>
      </w:r>
      <w:r>
        <w:rPr>
          <w:rFonts w:hint="eastAsia" w:ascii="宋体" w:hAnsi="宋体" w:cs="宋体"/>
          <w:color w:val="auto"/>
          <w:sz w:val="24"/>
          <w:szCs w:val="24"/>
          <w:highlight w:val="none"/>
        </w:rPr>
        <w:t>合楼</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楼</w:t>
      </w:r>
      <w:r>
        <w:rPr>
          <w:rFonts w:hint="eastAsia" w:ascii="宋体" w:hAnsi="宋体" w:cs="宋体"/>
          <w:color w:val="auto"/>
          <w:sz w:val="24"/>
          <w:szCs w:val="24"/>
          <w:highlight w:val="none"/>
          <w:lang w:val="en-US" w:eastAsia="zh-CN"/>
        </w:rPr>
        <w:t>F06</w:t>
      </w:r>
    </w:p>
    <w:permEnd w:id="25"/>
    <w:p w14:paraId="052C475F">
      <w:pPr>
        <w:pStyle w:val="28"/>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联系人：</w:t>
      </w:r>
      <w:permStart w:id="26" w:edGrp="everyone"/>
      <w:r>
        <w:rPr>
          <w:rFonts w:hint="eastAsia" w:ascii="宋体" w:hAnsi="宋体" w:cs="宋体"/>
          <w:sz w:val="24"/>
          <w:szCs w:val="24"/>
          <w:highlight w:val="none"/>
          <w:lang w:val="en-US" w:eastAsia="zh-CN"/>
        </w:rPr>
        <w:t>颜先生</w:t>
      </w:r>
    </w:p>
    <w:permEnd w:id="26"/>
    <w:p w14:paraId="68525C48">
      <w:pPr>
        <w:pStyle w:val="28"/>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联系电话：</w:t>
      </w:r>
      <w:permStart w:id="27" w:edGrp="everyone"/>
      <w:r>
        <w:rPr>
          <w:rFonts w:hint="eastAsia" w:ascii="宋体" w:hAnsi="宋体" w:cs="宋体"/>
          <w:sz w:val="24"/>
          <w:szCs w:val="24"/>
          <w:highlight w:val="none"/>
        </w:rPr>
        <w:t>0830-</w:t>
      </w:r>
      <w:r>
        <w:rPr>
          <w:rFonts w:hint="eastAsia" w:ascii="宋体" w:hAnsi="宋体" w:cs="宋体"/>
          <w:sz w:val="24"/>
          <w:szCs w:val="24"/>
          <w:highlight w:val="none"/>
          <w:lang w:val="en-US" w:eastAsia="zh-CN"/>
        </w:rPr>
        <w:t>6522206</w:t>
      </w:r>
    </w:p>
    <w:p w14:paraId="0403D1E1">
      <w:pPr>
        <w:pStyle w:val="28"/>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监督电话：0830-6522163</w:t>
      </w:r>
    </w:p>
    <w:p w14:paraId="501EA751">
      <w:pPr>
        <w:pStyle w:val="28"/>
        <w:spacing w:line="360" w:lineRule="auto"/>
        <w:ind w:firstLine="480" w:firstLineChars="200"/>
        <w:jc w:val="right"/>
        <w:rPr>
          <w:rFonts w:hint="eastAsia" w:ascii="宋体" w:hAnsi="宋体" w:cs="宋体"/>
          <w:sz w:val="24"/>
          <w:szCs w:val="24"/>
          <w:highlight w:val="none"/>
          <w:lang w:eastAsia="zh-CN"/>
        </w:rPr>
      </w:pPr>
      <w:bookmarkStart w:id="254" w:name="_Toc5089"/>
    </w:p>
    <w:p w14:paraId="252602CA">
      <w:pPr>
        <w:pStyle w:val="28"/>
        <w:spacing w:line="360" w:lineRule="auto"/>
        <w:ind w:firstLine="480" w:firstLineChars="200"/>
        <w:jc w:val="right"/>
        <w:rPr>
          <w:rFonts w:hint="eastAsia" w:ascii="宋体" w:hAnsi="宋体" w:cs="宋体"/>
          <w:sz w:val="24"/>
          <w:szCs w:val="24"/>
          <w:highlight w:val="none"/>
          <w:lang w:eastAsia="zh-CN"/>
        </w:rPr>
      </w:pPr>
    </w:p>
    <w:p w14:paraId="06C31752">
      <w:pPr>
        <w:pStyle w:val="28"/>
        <w:spacing w:line="360" w:lineRule="auto"/>
        <w:ind w:firstLine="480" w:firstLineChars="200"/>
        <w:jc w:val="right"/>
        <w:rPr>
          <w:rFonts w:hint="eastAsia" w:ascii="宋体" w:hAnsi="宋体" w:cs="宋体"/>
          <w:sz w:val="24"/>
          <w:szCs w:val="24"/>
          <w:highlight w:val="none"/>
          <w:lang w:eastAsia="zh-CN"/>
        </w:rPr>
      </w:pPr>
      <w:r>
        <w:rPr>
          <w:rFonts w:hint="eastAsia" w:ascii="宋体" w:hAnsi="宋体" w:cs="宋体"/>
          <w:sz w:val="24"/>
          <w:szCs w:val="24"/>
          <w:highlight w:val="none"/>
          <w:lang w:eastAsia="zh-CN"/>
        </w:rPr>
        <w:t>泸州裕阳投资发展有限公司</w:t>
      </w:r>
    </w:p>
    <w:p w14:paraId="4DC48C96">
      <w:pPr>
        <w:pStyle w:val="28"/>
        <w:spacing w:line="360" w:lineRule="auto"/>
        <w:ind w:firstLine="480" w:firstLineChars="200"/>
        <w:jc w:val="right"/>
        <w:rPr>
          <w:rFonts w:hint="eastAsia" w:hAnsi="宋体" w:cs="宋体"/>
          <w:sz w:val="24"/>
          <w:szCs w:val="24"/>
          <w:highlight w:val="none"/>
        </w:rPr>
      </w:pPr>
      <w:r>
        <w:rPr>
          <w:rFonts w:hint="eastAsia" w:hAnsi="宋体" w:cs="宋体"/>
          <w:sz w:val="24"/>
          <w:szCs w:val="24"/>
          <w:highlight w:val="none"/>
          <w:lang w:val="en-US" w:eastAsia="zh-CN"/>
        </w:rPr>
        <w:t>2025</w:t>
      </w:r>
      <w:r>
        <w:rPr>
          <w:rFonts w:hint="eastAsia" w:hAnsi="宋体" w:cs="宋体"/>
          <w:sz w:val="24"/>
          <w:szCs w:val="24"/>
          <w:highlight w:val="none"/>
        </w:rPr>
        <w:t>年</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15</w:t>
      </w:r>
      <w:r>
        <w:rPr>
          <w:rFonts w:hint="eastAsia" w:hAnsi="宋体" w:cs="宋体"/>
          <w:sz w:val="24"/>
          <w:szCs w:val="24"/>
          <w:highlight w:val="none"/>
        </w:rPr>
        <w:t>日</w:t>
      </w:r>
      <w:permEnd w:id="27"/>
    </w:p>
    <w:bookmarkEnd w:id="254"/>
    <w:p w14:paraId="059DCBE5">
      <w:pPr>
        <w:keepNext/>
        <w:keepLines/>
        <w:spacing w:line="360" w:lineRule="auto"/>
        <w:jc w:val="center"/>
        <w:rPr>
          <w:rFonts w:ascii="微软雅黑" w:hAnsi="宋体"/>
          <w:sz w:val="36"/>
          <w:szCs w:val="36"/>
          <w:highlight w:val="none"/>
        </w:rPr>
      </w:pPr>
      <w:bookmarkStart w:id="255" w:name="_Toc213496267"/>
      <w:bookmarkStart w:id="256" w:name="_Toc213396945"/>
      <w:bookmarkStart w:id="257" w:name="_Toc508133958"/>
      <w:bookmarkStart w:id="258" w:name="_Toc213397009"/>
      <w:bookmarkStart w:id="259" w:name="_Toc21752"/>
      <w:bookmarkStart w:id="260" w:name="_Toc213396759"/>
      <w:bookmarkStart w:id="261" w:name="_Toc217446031"/>
    </w:p>
    <w:p w14:paraId="1B758ACC">
      <w:pPr>
        <w:pStyle w:val="5"/>
        <w:spacing w:line="360" w:lineRule="auto"/>
        <w:jc w:val="center"/>
        <w:rPr>
          <w:rFonts w:ascii="微软雅黑" w:hAnsi="宋体"/>
          <w:sz w:val="36"/>
          <w:szCs w:val="36"/>
          <w:highlight w:val="none"/>
        </w:rPr>
      </w:pPr>
      <w:bookmarkStart w:id="262" w:name="_Toc23535"/>
      <w:bookmarkStart w:id="263" w:name="_Toc10138"/>
      <w:bookmarkStart w:id="264" w:name="_Toc18530"/>
      <w:bookmarkStart w:id="265" w:name="_Toc27338"/>
      <w:bookmarkStart w:id="266" w:name="_Toc31770"/>
      <w:bookmarkStart w:id="267" w:name="_Toc23572"/>
      <w:bookmarkStart w:id="268" w:name="_Toc7496"/>
      <w:bookmarkStart w:id="269" w:name="_Toc8415"/>
      <w:bookmarkStart w:id="270" w:name="_Toc15818"/>
      <w:bookmarkStart w:id="271" w:name="_Toc12118"/>
      <w:bookmarkStart w:id="272" w:name="_Toc28631"/>
      <w:bookmarkStart w:id="273" w:name="_Toc17548"/>
      <w:bookmarkStart w:id="274" w:name="_Toc10496"/>
      <w:bookmarkStart w:id="275" w:name="_Toc12696"/>
      <w:bookmarkStart w:id="276" w:name="_Toc29392"/>
      <w:bookmarkStart w:id="277" w:name="_Toc9374"/>
      <w:bookmarkStart w:id="278" w:name="_Toc9439"/>
      <w:bookmarkStart w:id="279" w:name="_Toc20724"/>
      <w:bookmarkStart w:id="280" w:name="_Toc17468"/>
      <w:r>
        <w:rPr>
          <w:rFonts w:hint="eastAsia"/>
          <w:sz w:val="36"/>
          <w:szCs w:val="36"/>
          <w:highlight w:val="none"/>
        </w:rPr>
        <w:br w:type="page"/>
      </w:r>
      <w:bookmarkStart w:id="281" w:name="_Toc24138"/>
      <w:r>
        <w:rPr>
          <w:rFonts w:hint="eastAsia"/>
          <w:sz w:val="36"/>
          <w:szCs w:val="36"/>
          <w:highlight w:val="none"/>
        </w:rPr>
        <w:t>第二章磋商</w:t>
      </w:r>
      <w:r>
        <w:rPr>
          <w:sz w:val="36"/>
          <w:szCs w:val="36"/>
          <w:highlight w:val="none"/>
        </w:rPr>
        <w:t>须知</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23C4B44">
      <w:pPr>
        <w:pStyle w:val="6"/>
        <w:spacing w:line="360" w:lineRule="auto"/>
        <w:jc w:val="center"/>
        <w:rPr>
          <w:rFonts w:eastAsia="宋体"/>
          <w:highlight w:val="none"/>
        </w:rPr>
      </w:pPr>
      <w:bookmarkStart w:id="282" w:name="_Toc4912"/>
      <w:bookmarkStart w:id="283" w:name="_Toc7281"/>
      <w:bookmarkStart w:id="284" w:name="_Toc10411"/>
      <w:bookmarkStart w:id="285" w:name="_Toc32010"/>
      <w:bookmarkStart w:id="286" w:name="_Toc32763"/>
      <w:bookmarkStart w:id="287" w:name="_Toc9905"/>
      <w:bookmarkStart w:id="288" w:name="_Toc29876"/>
      <w:bookmarkStart w:id="289" w:name="_Toc4450"/>
      <w:bookmarkStart w:id="290" w:name="_Toc12391"/>
      <w:bookmarkStart w:id="291" w:name="_Toc7702"/>
      <w:bookmarkStart w:id="292" w:name="_Toc23108"/>
      <w:bookmarkStart w:id="293" w:name="_Toc23445"/>
      <w:bookmarkStart w:id="294" w:name="_Toc12208"/>
      <w:bookmarkStart w:id="295" w:name="_Toc23935"/>
      <w:bookmarkStart w:id="296" w:name="_Toc3278"/>
      <w:bookmarkStart w:id="297" w:name="_Toc19383"/>
      <w:bookmarkStart w:id="298" w:name="_Toc31345"/>
      <w:bookmarkStart w:id="299" w:name="_Toc8993"/>
      <w:bookmarkStart w:id="300" w:name="_Toc5988"/>
      <w:bookmarkStart w:id="301" w:name="_Toc1354"/>
      <w:bookmarkStart w:id="302" w:name="_Toc23685"/>
      <w:r>
        <w:rPr>
          <w:rFonts w:ascii="微软雅黑" w:hAnsi="宋体" w:eastAsia="宋体"/>
          <w:highlight w:val="none"/>
        </w:rPr>
        <w:t>一、</w:t>
      </w:r>
      <w:r>
        <w:rPr>
          <w:rFonts w:hint="eastAsia" w:ascii="微软雅黑" w:hAnsi="宋体" w:eastAsia="宋体"/>
          <w:highlight w:val="none"/>
        </w:rPr>
        <w:t>供应商</w:t>
      </w:r>
      <w:r>
        <w:rPr>
          <w:rFonts w:ascii="微软雅黑" w:hAnsi="宋体" w:eastAsia="宋体"/>
          <w:highlight w:val="none"/>
        </w:rPr>
        <w:t>须知</w:t>
      </w:r>
      <w:r>
        <w:rPr>
          <w:rFonts w:hint="eastAsia" w:ascii="微软雅黑" w:hAnsi="宋体" w:eastAsia="宋体"/>
          <w:highlight w:val="none"/>
        </w:rPr>
        <w:t>前</w:t>
      </w:r>
      <w:r>
        <w:rPr>
          <w:rFonts w:ascii="微软雅黑" w:hAnsi="宋体" w:eastAsia="宋体"/>
          <w:highlight w:val="none"/>
        </w:rPr>
        <w:t>附表</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bl>
      <w:tblPr>
        <w:tblStyle w:val="18"/>
        <w:tblpPr w:leftFromText="180" w:rightFromText="180" w:vertAnchor="text" w:horzAnchor="page" w:tblpX="1302" w:tblpY="648"/>
        <w:tblOverlap w:val="never"/>
        <w:tblW w:w="9453" w:type="dxa"/>
        <w:tblInd w:w="-23" w:type="dxa"/>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600"/>
        <w:gridCol w:w="1792"/>
        <w:gridCol w:w="7061"/>
      </w:tblGrid>
      <w:tr w14:paraId="04FB3735">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91" w:hRule="exact"/>
          <w:tblHeader/>
        </w:trPr>
        <w:tc>
          <w:tcPr>
            <w:tcW w:w="600" w:type="dxa"/>
            <w:noWrap w:val="0"/>
            <w:vAlign w:val="center"/>
          </w:tcPr>
          <w:p w14:paraId="5BDF3BC5">
            <w:pPr>
              <w:pStyle w:val="29"/>
              <w:spacing w:line="360" w:lineRule="auto"/>
              <w:ind w:left="9"/>
              <w:jc w:val="center"/>
              <w:rPr>
                <w:rFonts w:hint="eastAsia" w:eastAsia="宋体" w:cs="宋体"/>
                <w:b/>
                <w:sz w:val="21"/>
                <w:szCs w:val="21"/>
                <w:highlight w:val="none"/>
                <w:lang w:eastAsia="zh-CN"/>
              </w:rPr>
            </w:pPr>
            <w:bookmarkStart w:id="303" w:name="_Toc508133959"/>
            <w:bookmarkStart w:id="304" w:name="_Toc213397010"/>
            <w:bookmarkStart w:id="305" w:name="_Toc217446032"/>
            <w:bookmarkStart w:id="306" w:name="_Toc32630"/>
            <w:bookmarkStart w:id="307" w:name="_Toc189727030"/>
            <w:bookmarkStart w:id="308" w:name="_Toc213396760"/>
            <w:bookmarkStart w:id="309" w:name="_Toc213496268"/>
            <w:bookmarkStart w:id="310" w:name="_Toc213396946"/>
            <w:r>
              <w:rPr>
                <w:rFonts w:hint="eastAsia" w:cs="宋体"/>
                <w:b/>
                <w:sz w:val="21"/>
                <w:szCs w:val="21"/>
                <w:highlight w:val="none"/>
              </w:rPr>
              <w:t>序号</w:t>
            </w:r>
          </w:p>
        </w:tc>
        <w:tc>
          <w:tcPr>
            <w:tcW w:w="1792" w:type="dxa"/>
            <w:noWrap w:val="0"/>
            <w:vAlign w:val="center"/>
          </w:tcPr>
          <w:p w14:paraId="7C5BBA89">
            <w:pPr>
              <w:pStyle w:val="29"/>
              <w:spacing w:line="360" w:lineRule="auto"/>
              <w:ind w:left="38"/>
              <w:jc w:val="center"/>
              <w:rPr>
                <w:rFonts w:hint="eastAsia" w:eastAsia="宋体" w:cs="宋体"/>
                <w:b/>
                <w:sz w:val="21"/>
                <w:szCs w:val="21"/>
                <w:highlight w:val="none"/>
                <w:lang w:eastAsia="zh-CN"/>
              </w:rPr>
            </w:pPr>
            <w:r>
              <w:rPr>
                <w:rFonts w:hint="eastAsia" w:cs="宋体"/>
                <w:b/>
                <w:sz w:val="21"/>
                <w:szCs w:val="21"/>
                <w:highlight w:val="none"/>
              </w:rPr>
              <w:t>应知事项</w:t>
            </w:r>
          </w:p>
        </w:tc>
        <w:tc>
          <w:tcPr>
            <w:tcW w:w="7061" w:type="dxa"/>
            <w:noWrap w:val="0"/>
            <w:vAlign w:val="center"/>
          </w:tcPr>
          <w:p w14:paraId="1D22F0C6">
            <w:pPr>
              <w:pStyle w:val="29"/>
              <w:spacing w:line="360" w:lineRule="auto"/>
              <w:ind w:firstLine="422" w:firstLineChars="200"/>
              <w:jc w:val="center"/>
              <w:rPr>
                <w:rFonts w:hint="eastAsia" w:cs="宋体"/>
                <w:b/>
                <w:sz w:val="21"/>
                <w:szCs w:val="21"/>
                <w:highlight w:val="none"/>
              </w:rPr>
            </w:pPr>
            <w:r>
              <w:rPr>
                <w:rFonts w:hint="eastAsia" w:cs="宋体"/>
                <w:b/>
                <w:sz w:val="21"/>
                <w:szCs w:val="21"/>
                <w:highlight w:val="none"/>
              </w:rPr>
              <w:t>说明和要求</w:t>
            </w:r>
          </w:p>
        </w:tc>
      </w:tr>
      <w:tr w14:paraId="1B8073B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21" w:hRule="exact"/>
        </w:trPr>
        <w:tc>
          <w:tcPr>
            <w:tcW w:w="600" w:type="dxa"/>
            <w:noWrap w:val="0"/>
            <w:vAlign w:val="center"/>
          </w:tcPr>
          <w:p w14:paraId="0468ADE3">
            <w:pPr>
              <w:pStyle w:val="29"/>
              <w:spacing w:line="360" w:lineRule="auto"/>
              <w:ind w:right="230"/>
              <w:jc w:val="center"/>
              <w:rPr>
                <w:rFonts w:hint="eastAsia" w:cs="宋体"/>
                <w:sz w:val="21"/>
                <w:szCs w:val="21"/>
                <w:highlight w:val="none"/>
              </w:rPr>
            </w:pPr>
            <w:r>
              <w:rPr>
                <w:rFonts w:hint="eastAsia" w:cs="宋体"/>
                <w:sz w:val="21"/>
                <w:szCs w:val="21"/>
                <w:highlight w:val="none"/>
              </w:rPr>
              <w:t>1</w:t>
            </w:r>
          </w:p>
        </w:tc>
        <w:tc>
          <w:tcPr>
            <w:tcW w:w="1792" w:type="dxa"/>
            <w:noWrap w:val="0"/>
            <w:vAlign w:val="center"/>
          </w:tcPr>
          <w:p w14:paraId="0A3930EA">
            <w:pPr>
              <w:pStyle w:val="29"/>
              <w:spacing w:line="360" w:lineRule="auto"/>
              <w:ind w:left="38"/>
              <w:jc w:val="center"/>
              <w:rPr>
                <w:rFonts w:hint="eastAsia"/>
                <w:sz w:val="21"/>
                <w:szCs w:val="21"/>
                <w:highlight w:val="none"/>
                <w:lang w:val="zh-CN"/>
              </w:rPr>
            </w:pPr>
            <w:r>
              <w:rPr>
                <w:rFonts w:hint="eastAsia"/>
                <w:sz w:val="21"/>
                <w:szCs w:val="21"/>
                <w:highlight w:val="none"/>
                <w:lang w:val="zh-CN"/>
              </w:rPr>
              <w:t>确定邀请磋商的供应商数量和方式</w:t>
            </w:r>
          </w:p>
        </w:tc>
        <w:tc>
          <w:tcPr>
            <w:tcW w:w="7061" w:type="dxa"/>
            <w:noWrap w:val="0"/>
            <w:vAlign w:val="center"/>
          </w:tcPr>
          <w:p w14:paraId="7D271AFC">
            <w:pPr>
              <w:pStyle w:val="29"/>
              <w:spacing w:line="360" w:lineRule="auto"/>
              <w:jc w:val="both"/>
              <w:rPr>
                <w:rFonts w:hint="eastAsia"/>
                <w:sz w:val="21"/>
                <w:szCs w:val="21"/>
                <w:highlight w:val="none"/>
                <w:lang w:val="zh-CN"/>
              </w:rPr>
            </w:pPr>
            <w:r>
              <w:rPr>
                <w:rFonts w:hint="eastAsia"/>
                <w:sz w:val="21"/>
                <w:szCs w:val="21"/>
                <w:highlight w:val="none"/>
                <w:lang w:val="zh-CN"/>
              </w:rPr>
              <w:t>本次磋商邀请的供应商数量：数量不限</w:t>
            </w:r>
          </w:p>
          <w:p w14:paraId="23777E9B">
            <w:pPr>
              <w:pStyle w:val="29"/>
              <w:spacing w:line="360" w:lineRule="auto"/>
              <w:jc w:val="both"/>
              <w:rPr>
                <w:rFonts w:hint="eastAsia"/>
                <w:sz w:val="21"/>
                <w:szCs w:val="21"/>
                <w:highlight w:val="none"/>
                <w:lang w:val="zh-CN"/>
              </w:rPr>
            </w:pPr>
            <w:r>
              <w:rPr>
                <w:rFonts w:hint="eastAsia"/>
                <w:sz w:val="21"/>
                <w:szCs w:val="21"/>
                <w:highlight w:val="none"/>
                <w:lang w:val="zh-CN"/>
              </w:rPr>
              <w:t>本次采购采取公开挂网的方式邀请参加磋商的供应商。</w:t>
            </w:r>
          </w:p>
        </w:tc>
      </w:tr>
      <w:tr w14:paraId="08CFB3C8">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776" w:hRule="exact"/>
        </w:trPr>
        <w:tc>
          <w:tcPr>
            <w:tcW w:w="600" w:type="dxa"/>
            <w:noWrap w:val="0"/>
            <w:vAlign w:val="center"/>
          </w:tcPr>
          <w:p w14:paraId="7D91395D">
            <w:pPr>
              <w:pStyle w:val="29"/>
              <w:spacing w:line="360" w:lineRule="auto"/>
              <w:ind w:right="230"/>
              <w:jc w:val="center"/>
              <w:rPr>
                <w:rFonts w:hint="eastAsia" w:cs="宋体"/>
                <w:sz w:val="21"/>
                <w:szCs w:val="21"/>
                <w:highlight w:val="none"/>
              </w:rPr>
            </w:pPr>
            <w:r>
              <w:rPr>
                <w:rFonts w:hint="eastAsia" w:cs="宋体"/>
                <w:sz w:val="21"/>
                <w:szCs w:val="21"/>
                <w:highlight w:val="none"/>
              </w:rPr>
              <w:t>2</w:t>
            </w:r>
          </w:p>
        </w:tc>
        <w:tc>
          <w:tcPr>
            <w:tcW w:w="1792" w:type="dxa"/>
            <w:noWrap w:val="0"/>
            <w:vAlign w:val="center"/>
          </w:tcPr>
          <w:p w14:paraId="6A575EAA">
            <w:pPr>
              <w:pStyle w:val="29"/>
              <w:spacing w:line="360" w:lineRule="auto"/>
              <w:ind w:hanging="15"/>
              <w:jc w:val="center"/>
              <w:rPr>
                <w:rFonts w:hint="eastAsia" w:cs="宋体"/>
                <w:sz w:val="21"/>
                <w:szCs w:val="21"/>
                <w:highlight w:val="none"/>
                <w:lang w:val="zh-CN"/>
              </w:rPr>
            </w:pPr>
            <w:r>
              <w:rPr>
                <w:rFonts w:hint="eastAsia" w:cs="宋体"/>
                <w:sz w:val="21"/>
                <w:szCs w:val="21"/>
                <w:highlight w:val="none"/>
                <w:lang w:val="zh-CN"/>
              </w:rPr>
              <w:t>采购人</w:t>
            </w:r>
          </w:p>
        </w:tc>
        <w:tc>
          <w:tcPr>
            <w:tcW w:w="7061" w:type="dxa"/>
            <w:noWrap w:val="0"/>
            <w:vAlign w:val="center"/>
          </w:tcPr>
          <w:p w14:paraId="74BF9846">
            <w:pPr>
              <w:pStyle w:val="28"/>
              <w:spacing w:line="360" w:lineRule="auto"/>
              <w:ind w:firstLine="0"/>
              <w:rPr>
                <w:rFonts w:hint="eastAsia" w:ascii="宋体" w:hAnsi="宋体" w:cs="宋体"/>
                <w:bCs/>
                <w:highlight w:val="none"/>
                <w:lang w:eastAsia="zh-CN"/>
              </w:rPr>
            </w:pPr>
            <w:r>
              <w:rPr>
                <w:rFonts w:hint="eastAsia" w:ascii="宋体" w:hAnsi="宋体" w:cs="宋体"/>
                <w:bCs/>
                <w:highlight w:val="none"/>
              </w:rPr>
              <w:t>采购人：</w:t>
            </w:r>
            <w:permStart w:id="28" w:edGrp="everyone"/>
            <w:r>
              <w:rPr>
                <w:rFonts w:hint="eastAsia" w:ascii="宋体" w:hAnsi="宋体" w:cs="宋体"/>
                <w:bCs/>
                <w:highlight w:val="none"/>
                <w:lang w:eastAsia="zh-CN"/>
              </w:rPr>
              <w:t>泸州裕阳投资发展有限公司</w:t>
            </w:r>
            <w:permEnd w:id="28"/>
            <w:r>
              <w:rPr>
                <w:rFonts w:hint="eastAsia" w:ascii="宋体" w:hAnsi="宋体" w:cs="宋体"/>
                <w:bCs/>
                <w:highlight w:val="none"/>
                <w:lang w:eastAsia="zh-CN"/>
              </w:rPr>
              <w:t>。</w:t>
            </w:r>
          </w:p>
          <w:p w14:paraId="63A28927">
            <w:pPr>
              <w:pStyle w:val="28"/>
              <w:spacing w:line="360" w:lineRule="auto"/>
              <w:ind w:firstLine="0"/>
              <w:rPr>
                <w:rFonts w:hint="eastAsia" w:ascii="宋体" w:hAnsi="宋体" w:cs="宋体"/>
                <w:bCs/>
                <w:highlight w:val="none"/>
                <w:lang w:val="en-US" w:eastAsia="zh-CN"/>
              </w:rPr>
            </w:pPr>
            <w:r>
              <w:rPr>
                <w:rFonts w:hint="eastAsia" w:ascii="宋体" w:hAnsi="宋体" w:cs="宋体"/>
                <w:bCs/>
                <w:highlight w:val="none"/>
              </w:rPr>
              <w:t>地址：</w:t>
            </w:r>
            <w:permStart w:id="29" w:edGrp="everyone"/>
            <w:r>
              <w:rPr>
                <w:rFonts w:hint="eastAsia" w:ascii="宋体" w:hAnsi="宋体" w:cs="宋体"/>
                <w:bCs/>
                <w:highlight w:val="none"/>
              </w:rPr>
              <w:t>四川省泸州市江阳区张坝</w:t>
            </w:r>
            <w:r>
              <w:rPr>
                <w:rFonts w:hint="eastAsia" w:ascii="宋体" w:hAnsi="宋体" w:cs="宋体"/>
                <w:bCs/>
                <w:highlight w:val="none"/>
                <w:lang w:val="en-US" w:eastAsia="zh-CN"/>
              </w:rPr>
              <w:t>桂圆林</w:t>
            </w:r>
            <w:r>
              <w:rPr>
                <w:rFonts w:hint="eastAsia" w:ascii="宋体" w:hAnsi="宋体" w:cs="宋体"/>
                <w:bCs/>
                <w:highlight w:val="none"/>
              </w:rPr>
              <w:t>西门综合楼</w:t>
            </w:r>
            <w:r>
              <w:rPr>
                <w:rFonts w:hint="eastAsia" w:ascii="宋体" w:hAnsi="宋体" w:cs="宋体"/>
                <w:bCs/>
                <w:highlight w:val="none"/>
                <w:lang w:val="en-US" w:eastAsia="zh-CN"/>
              </w:rPr>
              <w:t>3</w:t>
            </w:r>
            <w:r>
              <w:rPr>
                <w:rFonts w:hint="eastAsia" w:ascii="宋体" w:hAnsi="宋体" w:cs="宋体"/>
                <w:bCs/>
                <w:highlight w:val="none"/>
              </w:rPr>
              <w:t>楼</w:t>
            </w:r>
            <w:r>
              <w:rPr>
                <w:rFonts w:hint="eastAsia" w:ascii="宋体" w:hAnsi="宋体" w:cs="宋体"/>
                <w:bCs/>
                <w:highlight w:val="none"/>
                <w:lang w:val="en-US" w:eastAsia="zh-CN"/>
              </w:rPr>
              <w:t>F06</w:t>
            </w:r>
          </w:p>
          <w:permEnd w:id="29"/>
          <w:p w14:paraId="5713FACC">
            <w:pPr>
              <w:pStyle w:val="28"/>
              <w:spacing w:line="360" w:lineRule="auto"/>
              <w:ind w:firstLine="0"/>
              <w:rPr>
                <w:rFonts w:hint="eastAsia" w:ascii="宋体" w:hAnsi="宋体" w:cs="宋体"/>
                <w:bCs/>
                <w:highlight w:val="none"/>
                <w:lang w:val="en-US" w:eastAsia="zh-CN"/>
              </w:rPr>
            </w:pPr>
            <w:r>
              <w:rPr>
                <w:rFonts w:hint="eastAsia" w:ascii="宋体" w:hAnsi="宋体" w:cs="宋体"/>
                <w:bCs/>
                <w:highlight w:val="none"/>
              </w:rPr>
              <w:t>联系人：</w:t>
            </w:r>
            <w:permStart w:id="30" w:edGrp="everyone"/>
            <w:r>
              <w:rPr>
                <w:rFonts w:hint="eastAsia" w:ascii="宋体" w:hAnsi="宋体" w:cs="宋体"/>
                <w:bCs/>
                <w:highlight w:val="none"/>
                <w:lang w:val="en-US" w:eastAsia="zh-CN"/>
              </w:rPr>
              <w:t>颜先生</w:t>
            </w:r>
          </w:p>
          <w:permEnd w:id="30"/>
          <w:p w14:paraId="4C2FFBEF">
            <w:pPr>
              <w:pStyle w:val="28"/>
              <w:spacing w:line="360" w:lineRule="auto"/>
              <w:ind w:firstLine="0"/>
              <w:rPr>
                <w:rFonts w:ascii="宋体" w:hAnsi="宋体" w:cs="宋体"/>
                <w:highlight w:val="none"/>
              </w:rPr>
            </w:pPr>
            <w:r>
              <w:rPr>
                <w:rFonts w:hint="eastAsia" w:ascii="宋体" w:hAnsi="宋体" w:cs="宋体"/>
                <w:bCs/>
                <w:highlight w:val="none"/>
              </w:rPr>
              <w:t>联系电话：</w:t>
            </w:r>
            <w:permStart w:id="31" w:edGrp="everyone"/>
            <w:r>
              <w:rPr>
                <w:rFonts w:hint="default" w:ascii="宋体" w:hAnsi="宋体" w:cs="宋体"/>
                <w:bCs/>
                <w:highlight w:val="none"/>
              </w:rPr>
              <w:t>0830-</w:t>
            </w:r>
            <w:r>
              <w:rPr>
                <w:rFonts w:hint="default" w:ascii="宋体" w:hAnsi="宋体" w:cs="宋体"/>
                <w:bCs/>
                <w:highlight w:val="none"/>
                <w:lang w:val="en-US" w:eastAsia="zh-CN"/>
              </w:rPr>
              <w:t>6522206</w:t>
            </w:r>
            <w:permEnd w:id="31"/>
          </w:p>
        </w:tc>
      </w:tr>
      <w:tr w14:paraId="547169D0">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41" w:hRule="exact"/>
        </w:trPr>
        <w:tc>
          <w:tcPr>
            <w:tcW w:w="600" w:type="dxa"/>
            <w:noWrap w:val="0"/>
            <w:vAlign w:val="center"/>
          </w:tcPr>
          <w:p w14:paraId="5D1B1E5E">
            <w:pPr>
              <w:pStyle w:val="29"/>
              <w:spacing w:line="360" w:lineRule="auto"/>
              <w:ind w:right="230"/>
              <w:jc w:val="center"/>
              <w:rPr>
                <w:rFonts w:hint="eastAsia" w:cs="宋体"/>
                <w:sz w:val="21"/>
                <w:szCs w:val="21"/>
                <w:highlight w:val="none"/>
              </w:rPr>
            </w:pPr>
            <w:r>
              <w:rPr>
                <w:rFonts w:hint="eastAsia" w:cs="宋体"/>
                <w:sz w:val="21"/>
                <w:szCs w:val="21"/>
                <w:highlight w:val="none"/>
              </w:rPr>
              <w:t>3</w:t>
            </w:r>
          </w:p>
        </w:tc>
        <w:tc>
          <w:tcPr>
            <w:tcW w:w="1792" w:type="dxa"/>
            <w:noWrap w:val="0"/>
            <w:vAlign w:val="center"/>
          </w:tcPr>
          <w:p w14:paraId="55E9AA5E">
            <w:pPr>
              <w:pStyle w:val="29"/>
              <w:spacing w:line="360" w:lineRule="auto"/>
              <w:ind w:hanging="15"/>
              <w:jc w:val="center"/>
              <w:rPr>
                <w:rFonts w:hint="eastAsia" w:cs="宋体"/>
                <w:sz w:val="21"/>
                <w:szCs w:val="21"/>
                <w:highlight w:val="none"/>
                <w:lang w:val="zh-CN"/>
              </w:rPr>
            </w:pPr>
            <w:r>
              <w:rPr>
                <w:rFonts w:hint="eastAsia" w:cs="宋体"/>
                <w:sz w:val="21"/>
                <w:szCs w:val="21"/>
                <w:highlight w:val="none"/>
                <w:lang w:val="zh-CN"/>
              </w:rPr>
              <w:t>采购项目名称</w:t>
            </w:r>
          </w:p>
        </w:tc>
        <w:tc>
          <w:tcPr>
            <w:tcW w:w="7061" w:type="dxa"/>
            <w:noWrap w:val="0"/>
            <w:vAlign w:val="center"/>
          </w:tcPr>
          <w:p w14:paraId="6F8B4BCF">
            <w:pPr>
              <w:spacing w:line="360" w:lineRule="auto"/>
              <w:rPr>
                <w:rFonts w:hint="eastAsia" w:ascii="宋体" w:hAnsi="宋体" w:eastAsia="宋体" w:cs="宋体"/>
                <w:highlight w:val="none"/>
                <w:lang w:eastAsia="zh-CN"/>
              </w:rPr>
            </w:pPr>
            <w:permStart w:id="32" w:edGrp="everyone"/>
            <w:r>
              <w:rPr>
                <w:rFonts w:hint="eastAsia"/>
                <w:b w:val="0"/>
                <w:bCs/>
                <w:i w:val="0"/>
                <w:iCs w:val="0"/>
                <w:sz w:val="21"/>
                <w:szCs w:val="18"/>
                <w:u w:val="none"/>
                <w:lang w:eastAsia="zh-CN"/>
              </w:rPr>
              <w:t>202</w:t>
            </w:r>
            <w:r>
              <w:rPr>
                <w:rFonts w:hint="eastAsia"/>
                <w:b w:val="0"/>
                <w:bCs/>
                <w:i w:val="0"/>
                <w:iCs w:val="0"/>
                <w:sz w:val="21"/>
                <w:szCs w:val="18"/>
                <w:u w:val="none"/>
                <w:lang w:val="en-US" w:eastAsia="zh-CN"/>
              </w:rPr>
              <w:t>6</w:t>
            </w:r>
            <w:r>
              <w:rPr>
                <w:rFonts w:hint="eastAsia"/>
                <w:b w:val="0"/>
                <w:bCs/>
                <w:i w:val="0"/>
                <w:iCs w:val="0"/>
                <w:sz w:val="21"/>
                <w:szCs w:val="18"/>
                <w:u w:val="none"/>
                <w:lang w:eastAsia="zh-CN"/>
              </w:rPr>
              <w:t>年法律服务采购（</w:t>
            </w:r>
            <w:r>
              <w:rPr>
                <w:rFonts w:hint="eastAsia"/>
                <w:b w:val="0"/>
                <w:bCs/>
                <w:i w:val="0"/>
                <w:iCs w:val="0"/>
                <w:sz w:val="21"/>
                <w:szCs w:val="18"/>
                <w:u w:val="none"/>
                <w:lang w:val="en-US" w:eastAsia="zh-CN"/>
              </w:rPr>
              <w:t>第二次</w:t>
            </w:r>
            <w:r>
              <w:rPr>
                <w:rFonts w:hint="eastAsia"/>
                <w:b w:val="0"/>
                <w:bCs/>
                <w:i w:val="0"/>
                <w:iCs w:val="0"/>
                <w:sz w:val="21"/>
                <w:szCs w:val="18"/>
                <w:u w:val="none"/>
                <w:lang w:eastAsia="zh-CN"/>
              </w:rPr>
              <w:t>）</w:t>
            </w:r>
            <w:permEnd w:id="32"/>
          </w:p>
        </w:tc>
      </w:tr>
      <w:tr w14:paraId="3BBFC7A3">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47" w:hRule="exact"/>
        </w:trPr>
        <w:tc>
          <w:tcPr>
            <w:tcW w:w="600" w:type="dxa"/>
            <w:noWrap w:val="0"/>
            <w:vAlign w:val="center"/>
          </w:tcPr>
          <w:p w14:paraId="10903FE6">
            <w:pPr>
              <w:pStyle w:val="29"/>
              <w:spacing w:line="360" w:lineRule="auto"/>
              <w:ind w:right="230"/>
              <w:jc w:val="center"/>
              <w:rPr>
                <w:rFonts w:hint="eastAsia" w:cs="宋体"/>
                <w:sz w:val="21"/>
                <w:szCs w:val="21"/>
                <w:highlight w:val="none"/>
              </w:rPr>
            </w:pPr>
            <w:r>
              <w:rPr>
                <w:rFonts w:hint="eastAsia" w:cs="宋体"/>
                <w:sz w:val="21"/>
                <w:szCs w:val="21"/>
                <w:highlight w:val="none"/>
              </w:rPr>
              <w:t>4</w:t>
            </w:r>
          </w:p>
        </w:tc>
        <w:tc>
          <w:tcPr>
            <w:tcW w:w="1792" w:type="dxa"/>
            <w:noWrap w:val="0"/>
            <w:vAlign w:val="center"/>
          </w:tcPr>
          <w:p w14:paraId="54935E44">
            <w:pPr>
              <w:pStyle w:val="29"/>
              <w:spacing w:line="360" w:lineRule="auto"/>
              <w:ind w:left="38"/>
              <w:jc w:val="center"/>
              <w:rPr>
                <w:rFonts w:hint="eastAsia" w:cs="宋体"/>
                <w:sz w:val="21"/>
                <w:szCs w:val="21"/>
                <w:highlight w:val="none"/>
              </w:rPr>
            </w:pPr>
            <w:r>
              <w:rPr>
                <w:rFonts w:hint="eastAsia" w:cs="宋体"/>
                <w:sz w:val="21"/>
                <w:szCs w:val="21"/>
                <w:highlight w:val="none"/>
              </w:rPr>
              <w:t>采购预算</w:t>
            </w:r>
          </w:p>
          <w:p w14:paraId="4DDECCBF">
            <w:pPr>
              <w:pStyle w:val="29"/>
              <w:spacing w:line="360" w:lineRule="auto"/>
              <w:ind w:left="38"/>
              <w:jc w:val="center"/>
              <w:rPr>
                <w:rFonts w:hint="eastAsia" w:cs="宋体"/>
                <w:sz w:val="21"/>
                <w:szCs w:val="21"/>
                <w:highlight w:val="none"/>
              </w:rPr>
            </w:pPr>
            <w:r>
              <w:rPr>
                <w:rFonts w:hint="eastAsia" w:cs="宋体"/>
                <w:sz w:val="21"/>
                <w:szCs w:val="21"/>
                <w:highlight w:val="none"/>
                <w:lang w:val="zh-CN"/>
              </w:rPr>
              <w:t>（实质性要求）</w:t>
            </w:r>
          </w:p>
          <w:p w14:paraId="12CA8D91">
            <w:pPr>
              <w:pStyle w:val="29"/>
              <w:spacing w:line="360" w:lineRule="auto"/>
              <w:ind w:left="38"/>
              <w:jc w:val="center"/>
              <w:rPr>
                <w:rFonts w:hint="eastAsia" w:cs="宋体"/>
                <w:sz w:val="21"/>
                <w:szCs w:val="21"/>
                <w:highlight w:val="none"/>
              </w:rPr>
            </w:pPr>
          </w:p>
        </w:tc>
        <w:tc>
          <w:tcPr>
            <w:tcW w:w="7061" w:type="dxa"/>
            <w:noWrap w:val="0"/>
            <w:vAlign w:val="center"/>
          </w:tcPr>
          <w:p w14:paraId="65332F14">
            <w:pPr>
              <w:pStyle w:val="29"/>
              <w:spacing w:line="360" w:lineRule="auto"/>
              <w:jc w:val="both"/>
              <w:rPr>
                <w:rFonts w:cs="宋体"/>
                <w:sz w:val="21"/>
                <w:szCs w:val="21"/>
                <w:highlight w:val="none"/>
              </w:rPr>
            </w:pPr>
            <w:r>
              <w:rPr>
                <w:rFonts w:hint="eastAsia" w:cs="宋体"/>
                <w:b/>
                <w:bCs/>
                <w:sz w:val="21"/>
                <w:szCs w:val="21"/>
                <w:highlight w:val="none"/>
                <w:lang w:val="zh-CN"/>
              </w:rPr>
              <w:t>采购预算：</w:t>
            </w:r>
            <w:permStart w:id="33" w:edGrp="everyone"/>
            <w:r>
              <w:rPr>
                <w:rFonts w:hint="eastAsia" w:ascii="宋体" w:hAnsi="宋体" w:eastAsia="宋体" w:cs="宋体"/>
                <w:color w:val="auto"/>
                <w:sz w:val="21"/>
                <w:szCs w:val="21"/>
                <w:highlight w:val="none"/>
                <w:lang w:val="en-US" w:eastAsia="zh-CN"/>
              </w:rPr>
              <w:t>常年法律顾问费：</w:t>
            </w:r>
            <w:r>
              <w:rPr>
                <w:rFonts w:hint="eastAsia" w:ascii="宋体" w:hAnsi="宋体" w:cs="宋体"/>
                <w:color w:val="auto"/>
                <w:sz w:val="21"/>
                <w:szCs w:val="21"/>
                <w:highlight w:val="none"/>
                <w:lang w:val="en-US" w:eastAsia="zh-CN"/>
              </w:rPr>
              <w:t>5万元</w:t>
            </w:r>
            <w:r>
              <w:rPr>
                <w:rFonts w:hint="eastAsia" w:ascii="宋体" w:hAnsi="宋体" w:cs="宋体"/>
                <w:color w:val="auto"/>
                <w:sz w:val="21"/>
                <w:szCs w:val="21"/>
                <w:highlight w:val="none"/>
              </w:rPr>
              <w:t>（含税）</w:t>
            </w:r>
            <w:r>
              <w:rPr>
                <w:rFonts w:hint="eastAsia" w:ascii="宋体" w:hAnsi="宋体" w:eastAsia="宋体" w:cs="宋体"/>
                <w:color w:val="auto"/>
                <w:sz w:val="21"/>
                <w:szCs w:val="21"/>
                <w:highlight w:val="none"/>
                <w:lang w:val="en-US" w:eastAsia="zh-CN"/>
              </w:rPr>
              <w:t>，专项法律服务费、诉讼案件代理费计费方式详见“第五章 采购项目技术、服务及其他商务要求”</w:t>
            </w:r>
            <w:r>
              <w:rPr>
                <w:rFonts w:hint="eastAsia" w:cs="宋体"/>
                <w:color w:val="auto"/>
                <w:sz w:val="21"/>
                <w:szCs w:val="21"/>
                <w:highlight w:val="none"/>
                <w:lang w:val="en-US" w:eastAsia="zh-CN"/>
              </w:rPr>
              <w:t>。</w:t>
            </w:r>
            <w:permEnd w:id="33"/>
          </w:p>
        </w:tc>
      </w:tr>
      <w:tr w14:paraId="44EAF09F">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849" w:hRule="exact"/>
        </w:trPr>
        <w:tc>
          <w:tcPr>
            <w:tcW w:w="600" w:type="dxa"/>
            <w:noWrap w:val="0"/>
            <w:vAlign w:val="center"/>
          </w:tcPr>
          <w:p w14:paraId="6CAF82A7">
            <w:pPr>
              <w:pStyle w:val="29"/>
              <w:spacing w:line="360" w:lineRule="auto"/>
              <w:ind w:right="230"/>
              <w:jc w:val="center"/>
              <w:rPr>
                <w:rFonts w:hint="eastAsia" w:cs="宋体"/>
                <w:sz w:val="21"/>
                <w:szCs w:val="21"/>
                <w:highlight w:val="none"/>
              </w:rPr>
            </w:pPr>
            <w:r>
              <w:rPr>
                <w:rFonts w:hint="eastAsia" w:cs="宋体"/>
                <w:sz w:val="21"/>
                <w:szCs w:val="21"/>
                <w:highlight w:val="none"/>
              </w:rPr>
              <w:t>5</w:t>
            </w:r>
          </w:p>
        </w:tc>
        <w:tc>
          <w:tcPr>
            <w:tcW w:w="1792" w:type="dxa"/>
            <w:noWrap w:val="0"/>
            <w:vAlign w:val="center"/>
          </w:tcPr>
          <w:p w14:paraId="6D851F09">
            <w:pPr>
              <w:pStyle w:val="29"/>
              <w:spacing w:line="360" w:lineRule="auto"/>
              <w:ind w:left="38"/>
              <w:jc w:val="center"/>
              <w:rPr>
                <w:rFonts w:hint="eastAsia" w:cs="宋体"/>
                <w:sz w:val="21"/>
                <w:szCs w:val="21"/>
                <w:highlight w:val="none"/>
              </w:rPr>
            </w:pPr>
            <w:r>
              <w:rPr>
                <w:rFonts w:hint="eastAsia" w:cs="宋体"/>
                <w:sz w:val="21"/>
                <w:szCs w:val="21"/>
                <w:highlight w:val="none"/>
              </w:rPr>
              <w:t>最高限价</w:t>
            </w:r>
          </w:p>
          <w:p w14:paraId="127FA3FD">
            <w:pPr>
              <w:pStyle w:val="29"/>
              <w:spacing w:line="360" w:lineRule="auto"/>
              <w:ind w:left="38"/>
              <w:jc w:val="center"/>
              <w:rPr>
                <w:rFonts w:hint="eastAsia" w:cs="宋体"/>
                <w:sz w:val="21"/>
                <w:szCs w:val="21"/>
                <w:highlight w:val="none"/>
              </w:rPr>
            </w:pPr>
            <w:r>
              <w:rPr>
                <w:rFonts w:hint="eastAsia" w:cs="宋体"/>
                <w:sz w:val="21"/>
                <w:szCs w:val="21"/>
                <w:highlight w:val="none"/>
                <w:lang w:val="zh-CN"/>
              </w:rPr>
              <w:t>（实质性要求）</w:t>
            </w:r>
          </w:p>
          <w:p w14:paraId="7BC2392A">
            <w:pPr>
              <w:pStyle w:val="29"/>
              <w:spacing w:line="360" w:lineRule="auto"/>
              <w:ind w:left="38"/>
              <w:jc w:val="center"/>
              <w:rPr>
                <w:rFonts w:hint="eastAsia" w:cs="宋体"/>
                <w:sz w:val="21"/>
                <w:szCs w:val="21"/>
                <w:highlight w:val="none"/>
              </w:rPr>
            </w:pPr>
          </w:p>
        </w:tc>
        <w:tc>
          <w:tcPr>
            <w:tcW w:w="7061" w:type="dxa"/>
            <w:noWrap w:val="0"/>
            <w:vAlign w:val="center"/>
          </w:tcPr>
          <w:p w14:paraId="0F26D15E">
            <w:pPr>
              <w:spacing w:line="360" w:lineRule="auto"/>
              <w:rPr>
                <w:rFonts w:hint="eastAsia" w:ascii="宋体" w:hAnsi="宋体" w:cs="宋体"/>
                <w:highlight w:val="none"/>
              </w:rPr>
            </w:pPr>
            <w:r>
              <w:rPr>
                <w:rFonts w:hint="eastAsia" w:ascii="宋体" w:hAnsi="宋体" w:cs="宋体"/>
                <w:b/>
                <w:bCs/>
                <w:highlight w:val="none"/>
              </w:rPr>
              <w:t>最高限价：</w:t>
            </w:r>
            <w:permStart w:id="34" w:edGrp="everyone"/>
            <w:r>
              <w:rPr>
                <w:rFonts w:hint="eastAsia" w:ascii="宋体" w:hAnsi="宋体" w:eastAsia="宋体" w:cs="宋体"/>
                <w:color w:val="auto"/>
                <w:sz w:val="21"/>
                <w:szCs w:val="21"/>
                <w:highlight w:val="none"/>
                <w:lang w:val="en-US" w:eastAsia="zh-CN"/>
              </w:rPr>
              <w:t>常年法律顾问费：</w:t>
            </w:r>
            <w:r>
              <w:rPr>
                <w:rFonts w:hint="eastAsia" w:ascii="宋体" w:hAnsi="宋体" w:cs="宋体"/>
                <w:color w:val="auto"/>
                <w:sz w:val="21"/>
                <w:szCs w:val="21"/>
                <w:highlight w:val="none"/>
                <w:lang w:val="en-US" w:eastAsia="zh-CN"/>
              </w:rPr>
              <w:t>5万元</w:t>
            </w:r>
            <w:r>
              <w:rPr>
                <w:rFonts w:hint="eastAsia" w:ascii="宋体" w:hAnsi="宋体" w:cs="宋体"/>
                <w:color w:val="auto"/>
                <w:sz w:val="21"/>
                <w:szCs w:val="21"/>
                <w:highlight w:val="none"/>
              </w:rPr>
              <w:t>（含税）</w:t>
            </w:r>
            <w:r>
              <w:rPr>
                <w:rFonts w:hint="eastAsia" w:ascii="宋体" w:hAnsi="宋体" w:eastAsia="宋体" w:cs="宋体"/>
                <w:color w:val="auto"/>
                <w:sz w:val="21"/>
                <w:szCs w:val="21"/>
                <w:highlight w:val="none"/>
                <w:lang w:val="en-US" w:eastAsia="zh-CN"/>
              </w:rPr>
              <w:t>，专项法律服务费、诉讼案件代理费计费方式详见“第五章 采购项目技术、服务及其他商务要求”</w:t>
            </w:r>
            <w:r>
              <w:rPr>
                <w:rFonts w:hint="eastAsia" w:ascii="宋体" w:hAnsi="宋体" w:cs="宋体"/>
                <w:color w:val="auto"/>
                <w:sz w:val="21"/>
                <w:szCs w:val="21"/>
                <w:highlight w:val="none"/>
                <w:lang w:val="en-US" w:eastAsia="zh-CN"/>
              </w:rPr>
              <w:t>。</w:t>
            </w:r>
          </w:p>
          <w:permEnd w:id="34"/>
          <w:p w14:paraId="5D3E6E7A">
            <w:pPr>
              <w:spacing w:line="360" w:lineRule="auto"/>
              <w:rPr>
                <w:rFonts w:hint="eastAsia" w:ascii="宋体" w:hAnsi="宋体" w:cs="宋体"/>
                <w:highlight w:val="none"/>
                <w:lang w:val="zh-CN"/>
              </w:rPr>
            </w:pPr>
            <w:r>
              <w:rPr>
                <w:rFonts w:hint="eastAsia" w:ascii="宋体" w:hAnsi="宋体" w:cs="宋体"/>
                <w:highlight w:val="none"/>
                <w:lang w:val="zh-CN"/>
              </w:rPr>
              <w:t>超过最高限价的报价无效。</w:t>
            </w:r>
          </w:p>
          <w:p w14:paraId="1DD208CC">
            <w:pPr>
              <w:pStyle w:val="29"/>
              <w:spacing w:line="300" w:lineRule="auto"/>
              <w:jc w:val="both"/>
              <w:rPr>
                <w:rFonts w:hint="eastAsia"/>
                <w:sz w:val="21"/>
                <w:szCs w:val="21"/>
                <w:highlight w:val="none"/>
              </w:rPr>
            </w:pPr>
            <w:permStart w:id="35" w:edGrp="everyone"/>
            <w:r>
              <w:rPr>
                <w:rFonts w:hint="eastAsia"/>
                <w:b/>
                <w:bCs/>
                <w:sz w:val="21"/>
                <w:szCs w:val="21"/>
                <w:highlight w:val="none"/>
                <w:lang w:eastAsia="zh-CN"/>
              </w:rPr>
              <w:t>☑</w:t>
            </w:r>
            <w:permEnd w:id="35"/>
            <w:r>
              <w:rPr>
                <w:rFonts w:hint="eastAsia"/>
                <w:sz w:val="21"/>
                <w:szCs w:val="21"/>
                <w:highlight w:val="none"/>
              </w:rPr>
              <w:t>所报产品</w:t>
            </w:r>
            <w:r>
              <w:rPr>
                <w:rFonts w:hint="eastAsia"/>
                <w:b/>
                <w:bCs/>
                <w:sz w:val="21"/>
                <w:szCs w:val="21"/>
                <w:highlight w:val="none"/>
              </w:rPr>
              <w:t>单价</w:t>
            </w:r>
            <w:r>
              <w:rPr>
                <w:rFonts w:hint="eastAsia"/>
                <w:sz w:val="21"/>
                <w:szCs w:val="21"/>
                <w:highlight w:val="none"/>
              </w:rPr>
              <w:t>不得超过采购清单列出的</w:t>
            </w:r>
            <w:r>
              <w:rPr>
                <w:rFonts w:hint="eastAsia"/>
                <w:b/>
                <w:bCs/>
                <w:sz w:val="21"/>
                <w:szCs w:val="21"/>
                <w:highlight w:val="none"/>
              </w:rPr>
              <w:t>单价</w:t>
            </w:r>
            <w:r>
              <w:rPr>
                <w:rFonts w:hint="eastAsia"/>
                <w:sz w:val="21"/>
                <w:szCs w:val="21"/>
                <w:highlight w:val="none"/>
              </w:rPr>
              <w:t>最高限价，否则报价无效；</w:t>
            </w:r>
          </w:p>
          <w:p w14:paraId="7F3CC775">
            <w:pPr>
              <w:spacing w:line="360" w:lineRule="auto"/>
              <w:rPr>
                <w:rFonts w:hint="eastAsia" w:ascii="宋体" w:hAnsi="宋体" w:cs="宋体"/>
                <w:highlight w:val="none"/>
                <w:lang w:val="zh-CN"/>
              </w:rPr>
            </w:pPr>
            <w:permStart w:id="36" w:edGrp="everyone"/>
            <w:r>
              <w:rPr>
                <w:rFonts w:hint="eastAsia"/>
                <w:b/>
                <w:bCs/>
                <w:highlight w:val="none"/>
                <w:lang w:eastAsia="zh-CN"/>
              </w:rPr>
              <w:t>□</w:t>
            </w:r>
            <w:permEnd w:id="36"/>
            <w:r>
              <w:rPr>
                <w:rFonts w:hint="eastAsia"/>
                <w:highlight w:val="none"/>
              </w:rPr>
              <w:t>所报总价不得超过本项目最高限价，否则报价无效。</w:t>
            </w:r>
          </w:p>
          <w:p w14:paraId="7B8C175D">
            <w:pPr>
              <w:spacing w:line="360" w:lineRule="auto"/>
              <w:rPr>
                <w:rFonts w:hint="eastAsia" w:ascii="宋体" w:hAnsi="宋体" w:cs="宋体"/>
                <w:highlight w:val="none"/>
                <w:lang w:val="zh-CN"/>
              </w:rPr>
            </w:pPr>
          </w:p>
        </w:tc>
      </w:tr>
      <w:tr w14:paraId="364E037F">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52" w:hRule="exact"/>
        </w:trPr>
        <w:tc>
          <w:tcPr>
            <w:tcW w:w="600" w:type="dxa"/>
            <w:noWrap w:val="0"/>
            <w:vAlign w:val="center"/>
          </w:tcPr>
          <w:p w14:paraId="40426FA5">
            <w:pPr>
              <w:pStyle w:val="29"/>
              <w:spacing w:line="360" w:lineRule="auto"/>
              <w:ind w:right="230"/>
              <w:jc w:val="center"/>
              <w:rPr>
                <w:rFonts w:hint="eastAsia" w:cs="宋体"/>
                <w:sz w:val="21"/>
                <w:szCs w:val="21"/>
                <w:highlight w:val="none"/>
              </w:rPr>
            </w:pPr>
            <w:r>
              <w:rPr>
                <w:rFonts w:hint="eastAsia" w:cs="宋体"/>
                <w:sz w:val="21"/>
                <w:szCs w:val="21"/>
                <w:highlight w:val="none"/>
              </w:rPr>
              <w:t>6</w:t>
            </w:r>
          </w:p>
        </w:tc>
        <w:tc>
          <w:tcPr>
            <w:tcW w:w="1792" w:type="dxa"/>
            <w:noWrap w:val="0"/>
            <w:vAlign w:val="center"/>
          </w:tcPr>
          <w:p w14:paraId="3FECAFC1">
            <w:pPr>
              <w:pStyle w:val="29"/>
              <w:spacing w:line="360" w:lineRule="auto"/>
              <w:ind w:left="38"/>
              <w:jc w:val="center"/>
              <w:rPr>
                <w:rFonts w:hint="eastAsia" w:cs="宋体"/>
                <w:sz w:val="21"/>
                <w:szCs w:val="21"/>
                <w:highlight w:val="none"/>
              </w:rPr>
            </w:pPr>
            <w:r>
              <w:rPr>
                <w:rFonts w:hint="eastAsia" w:cs="宋体"/>
                <w:sz w:val="21"/>
                <w:szCs w:val="21"/>
                <w:highlight w:val="none"/>
                <w:lang w:val="zh-CN"/>
              </w:rPr>
              <w:t>联合体</w:t>
            </w:r>
          </w:p>
        </w:tc>
        <w:tc>
          <w:tcPr>
            <w:tcW w:w="7061" w:type="dxa"/>
            <w:noWrap w:val="0"/>
            <w:vAlign w:val="center"/>
          </w:tcPr>
          <w:p w14:paraId="6CB3BE68">
            <w:pPr>
              <w:pStyle w:val="29"/>
              <w:spacing w:line="360" w:lineRule="auto"/>
              <w:jc w:val="both"/>
              <w:rPr>
                <w:rFonts w:hint="eastAsia" w:cs="宋体"/>
                <w:sz w:val="21"/>
                <w:szCs w:val="21"/>
                <w:highlight w:val="none"/>
                <w:lang w:val="zh-CN"/>
              </w:rPr>
            </w:pPr>
            <w:permStart w:id="37" w:edGrp="everyone"/>
            <w:r>
              <w:rPr>
                <w:rFonts w:hint="eastAsia"/>
                <w:b/>
                <w:bCs/>
                <w:sz w:val="21"/>
                <w:szCs w:val="21"/>
                <w:highlight w:val="none"/>
              </w:rPr>
              <w:t>□</w:t>
            </w:r>
            <w:permEnd w:id="37"/>
            <w:r>
              <w:rPr>
                <w:rFonts w:hint="eastAsia" w:cs="宋体"/>
                <w:sz w:val="21"/>
                <w:szCs w:val="21"/>
                <w:highlight w:val="none"/>
                <w:lang w:val="zh-CN"/>
              </w:rPr>
              <w:t>允许联合体。</w:t>
            </w:r>
          </w:p>
          <w:p w14:paraId="36723313">
            <w:pPr>
              <w:pStyle w:val="29"/>
              <w:spacing w:line="360" w:lineRule="auto"/>
              <w:jc w:val="both"/>
              <w:rPr>
                <w:rFonts w:hint="eastAsia" w:cs="宋体"/>
                <w:sz w:val="21"/>
                <w:szCs w:val="21"/>
                <w:highlight w:val="none"/>
                <w:lang w:val="zh-CN"/>
              </w:rPr>
            </w:pPr>
            <w:permStart w:id="38" w:edGrp="everyone"/>
            <w:r>
              <w:rPr>
                <w:rFonts w:hint="eastAsia"/>
                <w:b/>
                <w:bCs/>
                <w:sz w:val="21"/>
                <w:szCs w:val="21"/>
                <w:highlight w:val="none"/>
                <w:lang w:eastAsia="zh-CN"/>
              </w:rPr>
              <w:t>☑</w:t>
            </w:r>
            <w:permEnd w:id="38"/>
            <w:r>
              <w:rPr>
                <w:rFonts w:hint="eastAsia" w:cs="宋体"/>
                <w:sz w:val="21"/>
                <w:szCs w:val="21"/>
                <w:highlight w:val="none"/>
                <w:lang w:val="zh-CN"/>
              </w:rPr>
              <w:t>不允许联合体。</w:t>
            </w:r>
          </w:p>
        </w:tc>
      </w:tr>
      <w:tr w14:paraId="2A25FE1A">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01" w:hRule="exact"/>
        </w:trPr>
        <w:tc>
          <w:tcPr>
            <w:tcW w:w="600" w:type="dxa"/>
            <w:noWrap w:val="0"/>
            <w:vAlign w:val="center"/>
          </w:tcPr>
          <w:p w14:paraId="0CFFDB1B">
            <w:pPr>
              <w:pStyle w:val="29"/>
              <w:spacing w:line="360" w:lineRule="auto"/>
              <w:ind w:right="230"/>
              <w:jc w:val="center"/>
              <w:rPr>
                <w:rFonts w:hint="eastAsia" w:cs="宋体"/>
                <w:sz w:val="21"/>
                <w:szCs w:val="21"/>
                <w:highlight w:val="none"/>
              </w:rPr>
            </w:pPr>
            <w:r>
              <w:rPr>
                <w:rFonts w:hint="eastAsia" w:cs="宋体"/>
                <w:sz w:val="21"/>
                <w:szCs w:val="21"/>
                <w:highlight w:val="none"/>
              </w:rPr>
              <w:t>7</w:t>
            </w:r>
          </w:p>
        </w:tc>
        <w:tc>
          <w:tcPr>
            <w:tcW w:w="1792" w:type="dxa"/>
            <w:noWrap w:val="0"/>
            <w:vAlign w:val="center"/>
          </w:tcPr>
          <w:p w14:paraId="2A85B577">
            <w:pPr>
              <w:pStyle w:val="29"/>
              <w:spacing w:line="360" w:lineRule="auto"/>
              <w:ind w:hanging="15"/>
              <w:jc w:val="center"/>
              <w:rPr>
                <w:rFonts w:hint="eastAsia" w:cs="宋体"/>
                <w:sz w:val="21"/>
                <w:szCs w:val="21"/>
                <w:highlight w:val="none"/>
              </w:rPr>
            </w:pPr>
            <w:r>
              <w:rPr>
                <w:rFonts w:hint="eastAsia" w:cs="宋体"/>
                <w:sz w:val="21"/>
                <w:szCs w:val="21"/>
                <w:highlight w:val="none"/>
                <w:lang w:val="zh-CN"/>
              </w:rPr>
              <w:t>采购方式</w:t>
            </w:r>
          </w:p>
        </w:tc>
        <w:tc>
          <w:tcPr>
            <w:tcW w:w="7061" w:type="dxa"/>
            <w:noWrap w:val="0"/>
            <w:vAlign w:val="center"/>
          </w:tcPr>
          <w:p w14:paraId="1DA4FD29">
            <w:pPr>
              <w:pStyle w:val="29"/>
              <w:spacing w:line="360" w:lineRule="auto"/>
              <w:ind w:hanging="15"/>
              <w:jc w:val="both"/>
              <w:rPr>
                <w:rFonts w:hint="eastAsia" w:cs="宋体"/>
                <w:b/>
                <w:sz w:val="21"/>
                <w:szCs w:val="21"/>
                <w:highlight w:val="none"/>
              </w:rPr>
            </w:pPr>
            <w:r>
              <w:rPr>
                <w:rFonts w:hint="eastAsia" w:cs="宋体"/>
                <w:sz w:val="21"/>
                <w:szCs w:val="21"/>
                <w:highlight w:val="none"/>
                <w:lang w:val="zh-CN"/>
              </w:rPr>
              <w:t>竞争性磋商</w:t>
            </w:r>
          </w:p>
        </w:tc>
      </w:tr>
      <w:tr w14:paraId="7F709FD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624" w:hRule="exact"/>
        </w:trPr>
        <w:tc>
          <w:tcPr>
            <w:tcW w:w="600" w:type="dxa"/>
            <w:noWrap w:val="0"/>
            <w:vAlign w:val="center"/>
          </w:tcPr>
          <w:p w14:paraId="3328DF3B">
            <w:pPr>
              <w:pStyle w:val="29"/>
              <w:spacing w:line="360" w:lineRule="auto"/>
              <w:ind w:right="230"/>
              <w:jc w:val="center"/>
              <w:rPr>
                <w:rFonts w:hint="eastAsia" w:cs="宋体"/>
                <w:sz w:val="21"/>
                <w:szCs w:val="21"/>
                <w:highlight w:val="none"/>
              </w:rPr>
            </w:pPr>
            <w:r>
              <w:rPr>
                <w:rFonts w:hint="eastAsia" w:cs="宋体"/>
                <w:sz w:val="21"/>
                <w:szCs w:val="21"/>
                <w:highlight w:val="none"/>
              </w:rPr>
              <w:t>8</w:t>
            </w:r>
          </w:p>
        </w:tc>
        <w:tc>
          <w:tcPr>
            <w:tcW w:w="1792" w:type="dxa"/>
            <w:noWrap w:val="0"/>
            <w:vAlign w:val="center"/>
          </w:tcPr>
          <w:p w14:paraId="3C820FC3">
            <w:pPr>
              <w:pStyle w:val="29"/>
              <w:spacing w:line="360" w:lineRule="auto"/>
              <w:ind w:left="38"/>
              <w:jc w:val="center"/>
              <w:rPr>
                <w:rFonts w:hint="eastAsia" w:cs="宋体"/>
                <w:sz w:val="21"/>
                <w:szCs w:val="21"/>
                <w:highlight w:val="none"/>
              </w:rPr>
            </w:pPr>
            <w:r>
              <w:rPr>
                <w:rFonts w:hint="eastAsia" w:cs="宋体"/>
                <w:sz w:val="21"/>
                <w:szCs w:val="21"/>
                <w:highlight w:val="none"/>
                <w:lang w:val="zh-CN"/>
              </w:rPr>
              <w:t>磋商情况公告</w:t>
            </w:r>
          </w:p>
        </w:tc>
        <w:tc>
          <w:tcPr>
            <w:tcW w:w="7061" w:type="dxa"/>
            <w:noWrap w:val="0"/>
            <w:vAlign w:val="center"/>
          </w:tcPr>
          <w:p w14:paraId="035C9B3E">
            <w:pPr>
              <w:pStyle w:val="29"/>
              <w:spacing w:line="360" w:lineRule="auto"/>
              <w:jc w:val="both"/>
              <w:rPr>
                <w:rFonts w:hint="eastAsia" w:cs="宋体"/>
                <w:sz w:val="21"/>
                <w:szCs w:val="21"/>
                <w:highlight w:val="none"/>
              </w:rPr>
            </w:pPr>
            <w:r>
              <w:rPr>
                <w:rFonts w:hint="eastAsia" w:cs="宋体"/>
                <w:sz w:val="21"/>
                <w:szCs w:val="21"/>
                <w:highlight w:val="none"/>
                <w:lang w:val="zh-CN"/>
              </w:rPr>
              <w:t>供应商磋商结果等在</w:t>
            </w:r>
            <w:r>
              <w:rPr>
                <w:rFonts w:hint="eastAsia" w:cs="宋体"/>
                <w:bCs/>
                <w:sz w:val="21"/>
                <w:szCs w:val="21"/>
                <w:highlight w:val="none"/>
              </w:rPr>
              <w:t>全国公共资源交易平台（四川省泸州市）(http://www.lzsggzy.com)和泸州盛江投资发展有限公司网站（https://www.lzsjtz.com）上</w:t>
            </w:r>
            <w:r>
              <w:rPr>
                <w:rFonts w:hint="eastAsia" w:cs="宋体"/>
                <w:sz w:val="21"/>
                <w:szCs w:val="21"/>
                <w:highlight w:val="none"/>
                <w:lang w:val="zh-CN"/>
              </w:rPr>
              <w:t>公告。</w:t>
            </w:r>
          </w:p>
        </w:tc>
      </w:tr>
      <w:tr w14:paraId="0EEE5D6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611" w:hRule="exact"/>
        </w:trPr>
        <w:tc>
          <w:tcPr>
            <w:tcW w:w="600" w:type="dxa"/>
            <w:noWrap w:val="0"/>
            <w:vAlign w:val="center"/>
          </w:tcPr>
          <w:p w14:paraId="2CE3A054">
            <w:pPr>
              <w:pStyle w:val="29"/>
              <w:spacing w:line="360" w:lineRule="auto"/>
              <w:ind w:right="230"/>
              <w:jc w:val="center"/>
              <w:rPr>
                <w:rFonts w:hint="eastAsia" w:cs="宋体"/>
                <w:sz w:val="21"/>
                <w:szCs w:val="21"/>
                <w:highlight w:val="none"/>
              </w:rPr>
            </w:pPr>
            <w:r>
              <w:rPr>
                <w:rFonts w:hint="eastAsia" w:cs="宋体"/>
                <w:sz w:val="21"/>
                <w:szCs w:val="21"/>
                <w:highlight w:val="none"/>
              </w:rPr>
              <w:t>9</w:t>
            </w:r>
          </w:p>
        </w:tc>
        <w:tc>
          <w:tcPr>
            <w:tcW w:w="1792" w:type="dxa"/>
            <w:noWrap w:val="0"/>
            <w:vAlign w:val="center"/>
          </w:tcPr>
          <w:p w14:paraId="3C4CB8BD">
            <w:pPr>
              <w:pStyle w:val="29"/>
              <w:spacing w:line="360" w:lineRule="auto"/>
              <w:ind w:left="38"/>
              <w:jc w:val="center"/>
              <w:rPr>
                <w:rFonts w:hint="eastAsia"/>
                <w:sz w:val="21"/>
                <w:szCs w:val="21"/>
                <w:highlight w:val="none"/>
              </w:rPr>
            </w:pPr>
            <w:r>
              <w:rPr>
                <w:rFonts w:hint="eastAsia"/>
                <w:sz w:val="21"/>
                <w:szCs w:val="21"/>
                <w:highlight w:val="none"/>
              </w:rPr>
              <w:t>低于成本价</w:t>
            </w:r>
          </w:p>
          <w:p w14:paraId="159EEF06">
            <w:pPr>
              <w:pStyle w:val="29"/>
              <w:spacing w:line="360" w:lineRule="auto"/>
              <w:ind w:left="38"/>
              <w:jc w:val="center"/>
              <w:rPr>
                <w:rFonts w:hint="eastAsia" w:cs="宋体"/>
                <w:sz w:val="21"/>
                <w:szCs w:val="21"/>
                <w:highlight w:val="none"/>
                <w:lang w:val="zh-CN"/>
              </w:rPr>
            </w:pPr>
            <w:r>
              <w:rPr>
                <w:rFonts w:hint="eastAsia"/>
                <w:sz w:val="21"/>
                <w:szCs w:val="21"/>
                <w:highlight w:val="none"/>
              </w:rPr>
              <w:t>不正当竞争预防措施（实质性要求）</w:t>
            </w:r>
          </w:p>
        </w:tc>
        <w:tc>
          <w:tcPr>
            <w:tcW w:w="7061" w:type="dxa"/>
            <w:noWrap w:val="0"/>
            <w:vAlign w:val="center"/>
          </w:tcPr>
          <w:p w14:paraId="4D6A5E49">
            <w:pPr>
              <w:pStyle w:val="29"/>
              <w:spacing w:line="300" w:lineRule="auto"/>
              <w:ind w:firstLine="211" w:firstLineChars="100"/>
              <w:jc w:val="both"/>
              <w:rPr>
                <w:rFonts w:hint="eastAsia"/>
                <w:sz w:val="21"/>
                <w:szCs w:val="21"/>
                <w:highlight w:val="none"/>
                <w:lang w:val="zh-CN"/>
              </w:rPr>
            </w:pPr>
            <w:permStart w:id="39" w:edGrp="everyone"/>
            <w:r>
              <w:rPr>
                <w:rFonts w:hint="eastAsia"/>
                <w:b/>
                <w:bCs/>
                <w:sz w:val="21"/>
                <w:szCs w:val="21"/>
                <w:highlight w:val="none"/>
              </w:rPr>
              <w:t>□</w:t>
            </w:r>
            <w:permEnd w:id="39"/>
            <w:r>
              <w:rPr>
                <w:rFonts w:hint="eastAsia"/>
                <w:b/>
                <w:bCs/>
                <w:sz w:val="21"/>
                <w:szCs w:val="21"/>
                <w:highlight w:val="none"/>
                <w:lang w:val="zh-CN"/>
              </w:rPr>
              <w:t>货物类（含工程类材料设备）：</w:t>
            </w:r>
            <w:r>
              <w:rPr>
                <w:rFonts w:hint="eastAsia"/>
                <w:sz w:val="21"/>
                <w:szCs w:val="21"/>
                <w:highlight w:val="none"/>
                <w:lang w:val="zh-CN"/>
              </w:rPr>
              <w:t>当有效供应商的报价低于（含等于）有效供应商报价的最高值的50%并且低于（含等于）所有有效供应商报价算术平均值的60%时，该供应商的报价将被认定为低于成本报价，作废标处理。</w:t>
            </w:r>
          </w:p>
          <w:p w14:paraId="19BAF042">
            <w:pPr>
              <w:pStyle w:val="29"/>
              <w:spacing w:line="360" w:lineRule="auto"/>
              <w:ind w:firstLine="211" w:firstLineChars="100"/>
              <w:rPr>
                <w:rFonts w:hint="eastAsia" w:cs="宋体"/>
                <w:sz w:val="21"/>
                <w:szCs w:val="21"/>
                <w:highlight w:val="none"/>
                <w:lang w:val="zh-CN"/>
              </w:rPr>
            </w:pPr>
            <w:permStart w:id="40" w:edGrp="everyone"/>
            <w:r>
              <w:rPr>
                <w:rFonts w:hint="eastAsia"/>
                <w:b/>
                <w:bCs/>
                <w:sz w:val="21"/>
                <w:szCs w:val="21"/>
                <w:highlight w:val="none"/>
                <w:lang w:eastAsia="zh-CN"/>
              </w:rPr>
              <w:t>☑</w:t>
            </w:r>
            <w:permEnd w:id="40"/>
            <w:r>
              <w:rPr>
                <w:rFonts w:hint="eastAsia"/>
                <w:b/>
                <w:bCs/>
                <w:sz w:val="21"/>
                <w:szCs w:val="21"/>
                <w:highlight w:val="none"/>
                <w:lang w:val="zh-CN"/>
              </w:rPr>
              <w:t>工程类、服务类（不含工程类材料设备）：</w:t>
            </w:r>
            <w:r>
              <w:rPr>
                <w:rFonts w:hint="eastAsia"/>
                <w:sz w:val="21"/>
                <w:szCs w:val="21"/>
                <w:highlight w:val="none"/>
                <w:lang w:val="zh-CN"/>
              </w:rPr>
              <w:t>当有效供应商的报价低于（含等于）有效供应商报价的最高值的90%并且低于（含等于）所有有效供应商报价算术平均值的9</w:t>
            </w:r>
            <w:r>
              <w:rPr>
                <w:rFonts w:hint="eastAsia"/>
                <w:sz w:val="21"/>
                <w:szCs w:val="21"/>
                <w:highlight w:val="none"/>
              </w:rPr>
              <w:t>0</w:t>
            </w:r>
            <w:r>
              <w:rPr>
                <w:rFonts w:hint="eastAsia"/>
                <w:sz w:val="21"/>
                <w:szCs w:val="21"/>
                <w:highlight w:val="none"/>
                <w:lang w:val="zh-CN"/>
              </w:rPr>
              <w:t>%时，该供应商的报价将被认定为低于成本报价，作废标处理。</w:t>
            </w:r>
          </w:p>
          <w:p w14:paraId="4BADFB7E">
            <w:pPr>
              <w:pStyle w:val="29"/>
              <w:spacing w:line="360" w:lineRule="auto"/>
              <w:ind w:left="38" w:firstLine="210" w:firstLineChars="100"/>
              <w:rPr>
                <w:rFonts w:hint="eastAsia" w:cs="宋体"/>
                <w:sz w:val="21"/>
                <w:szCs w:val="21"/>
                <w:highlight w:val="none"/>
                <w:lang w:val="zh-CN"/>
              </w:rPr>
            </w:pPr>
          </w:p>
        </w:tc>
      </w:tr>
      <w:tr w14:paraId="7BAFC62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137" w:hRule="exact"/>
        </w:trPr>
        <w:tc>
          <w:tcPr>
            <w:tcW w:w="600" w:type="dxa"/>
            <w:noWrap w:val="0"/>
            <w:vAlign w:val="center"/>
          </w:tcPr>
          <w:p w14:paraId="07D6C50E">
            <w:pPr>
              <w:pStyle w:val="29"/>
              <w:spacing w:line="360" w:lineRule="auto"/>
              <w:ind w:right="230"/>
              <w:jc w:val="center"/>
              <w:rPr>
                <w:rFonts w:cs="宋体"/>
                <w:sz w:val="21"/>
                <w:szCs w:val="21"/>
                <w:highlight w:val="none"/>
              </w:rPr>
            </w:pPr>
            <w:permStart w:id="41" w:edGrp="everyone" w:colFirst="2" w:colLast="2"/>
            <w:r>
              <w:rPr>
                <w:rFonts w:hint="eastAsia" w:cs="宋体"/>
                <w:sz w:val="21"/>
                <w:szCs w:val="21"/>
                <w:highlight w:val="none"/>
              </w:rPr>
              <w:t>10</w:t>
            </w:r>
          </w:p>
        </w:tc>
        <w:tc>
          <w:tcPr>
            <w:tcW w:w="1792" w:type="dxa"/>
            <w:noWrap w:val="0"/>
            <w:vAlign w:val="center"/>
          </w:tcPr>
          <w:p w14:paraId="72506141">
            <w:pPr>
              <w:pStyle w:val="29"/>
              <w:spacing w:line="360" w:lineRule="auto"/>
              <w:ind w:left="96"/>
              <w:jc w:val="center"/>
              <w:rPr>
                <w:rFonts w:hint="eastAsia" w:cs="宋体"/>
                <w:sz w:val="21"/>
                <w:szCs w:val="21"/>
                <w:highlight w:val="none"/>
              </w:rPr>
            </w:pPr>
            <w:r>
              <w:rPr>
                <w:rFonts w:hint="eastAsia" w:cs="宋体"/>
                <w:sz w:val="21"/>
                <w:szCs w:val="21"/>
                <w:highlight w:val="none"/>
              </w:rPr>
              <w:t>磋商保证金</w:t>
            </w:r>
          </w:p>
        </w:tc>
        <w:tc>
          <w:tcPr>
            <w:tcW w:w="7061" w:type="dxa"/>
            <w:noWrap w:val="0"/>
            <w:vAlign w:val="center"/>
          </w:tcPr>
          <w:p w14:paraId="5F5E6F31">
            <w:pPr>
              <w:spacing w:line="360" w:lineRule="auto"/>
              <w:jc w:val="left"/>
              <w:rPr>
                <w:rFonts w:hint="eastAsia" w:ascii="宋体" w:hAnsi="宋体" w:cs="宋体"/>
                <w:highlight w:val="none"/>
              </w:rPr>
            </w:pPr>
            <w:r>
              <w:rPr>
                <w:rFonts w:hint="eastAsia"/>
                <w:sz w:val="21"/>
                <w:szCs w:val="21"/>
                <w:highlight w:val="none"/>
                <w:lang w:val="zh-CN"/>
              </w:rPr>
              <w:t>本项目不收取</w:t>
            </w:r>
            <w:r>
              <w:rPr>
                <w:rFonts w:hint="eastAsia" w:cs="宋体"/>
                <w:sz w:val="21"/>
                <w:szCs w:val="21"/>
                <w:highlight w:val="none"/>
              </w:rPr>
              <w:t>磋商保证金</w:t>
            </w:r>
          </w:p>
        </w:tc>
      </w:tr>
      <w:permEnd w:id="41"/>
      <w:tr w14:paraId="139820D5">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685" w:hRule="exact"/>
        </w:trPr>
        <w:tc>
          <w:tcPr>
            <w:tcW w:w="600" w:type="dxa"/>
            <w:noWrap w:val="0"/>
            <w:vAlign w:val="center"/>
          </w:tcPr>
          <w:p w14:paraId="478E62C7">
            <w:pPr>
              <w:pStyle w:val="29"/>
              <w:spacing w:line="360" w:lineRule="auto"/>
              <w:ind w:right="230"/>
              <w:jc w:val="center"/>
              <w:rPr>
                <w:rFonts w:hint="eastAsia" w:cs="宋体"/>
                <w:sz w:val="21"/>
                <w:szCs w:val="21"/>
                <w:highlight w:val="none"/>
              </w:rPr>
            </w:pPr>
            <w:permStart w:id="42" w:edGrp="everyone" w:colFirst="2" w:colLast="2"/>
            <w:r>
              <w:rPr>
                <w:rFonts w:hint="eastAsia" w:cs="宋体"/>
                <w:sz w:val="21"/>
                <w:szCs w:val="21"/>
                <w:highlight w:val="none"/>
              </w:rPr>
              <w:t>11</w:t>
            </w:r>
          </w:p>
        </w:tc>
        <w:tc>
          <w:tcPr>
            <w:tcW w:w="1792" w:type="dxa"/>
            <w:noWrap w:val="0"/>
            <w:vAlign w:val="center"/>
          </w:tcPr>
          <w:p w14:paraId="464AA88A">
            <w:pPr>
              <w:pStyle w:val="29"/>
              <w:spacing w:line="360" w:lineRule="auto"/>
              <w:ind w:left="38"/>
              <w:jc w:val="center"/>
              <w:rPr>
                <w:rFonts w:hint="eastAsia" w:cs="宋体"/>
                <w:sz w:val="21"/>
                <w:szCs w:val="21"/>
                <w:highlight w:val="none"/>
              </w:rPr>
            </w:pPr>
            <w:r>
              <w:rPr>
                <w:rFonts w:hint="eastAsia" w:cs="宋体"/>
                <w:sz w:val="21"/>
                <w:szCs w:val="21"/>
                <w:highlight w:val="none"/>
              </w:rPr>
              <w:t>履约保证金</w:t>
            </w:r>
          </w:p>
        </w:tc>
        <w:tc>
          <w:tcPr>
            <w:tcW w:w="7061" w:type="dxa"/>
            <w:noWrap w:val="0"/>
            <w:vAlign w:val="center"/>
          </w:tcPr>
          <w:p w14:paraId="17FAEA41">
            <w:pPr>
              <w:pStyle w:val="29"/>
              <w:spacing w:line="360" w:lineRule="auto"/>
              <w:ind w:firstLine="315" w:firstLineChars="150"/>
              <w:jc w:val="both"/>
              <w:rPr>
                <w:sz w:val="21"/>
                <w:szCs w:val="21"/>
                <w:highlight w:val="none"/>
              </w:rPr>
            </w:pPr>
            <w:r>
              <w:rPr>
                <w:rFonts w:hint="eastAsia"/>
                <w:sz w:val="21"/>
                <w:szCs w:val="21"/>
                <w:highlight w:val="none"/>
                <w:lang w:eastAsia="zh-CN"/>
              </w:rPr>
              <w:t>履约</w:t>
            </w:r>
            <w:r>
              <w:rPr>
                <w:rFonts w:hint="eastAsia"/>
                <w:color w:val="auto"/>
                <w:sz w:val="21"/>
                <w:szCs w:val="21"/>
                <w:lang w:val="zh-CN"/>
              </w:rPr>
              <w:t>保证金：收取成交金额的</w:t>
            </w:r>
            <w:r>
              <w:rPr>
                <w:rFonts w:hint="eastAsia"/>
                <w:color w:val="auto"/>
                <w:sz w:val="21"/>
                <w:szCs w:val="21"/>
                <w:highlight w:val="none"/>
                <w:lang w:val="en-US" w:eastAsia="zh-CN"/>
              </w:rPr>
              <w:t>10</w:t>
            </w:r>
            <w:r>
              <w:rPr>
                <w:rFonts w:hint="eastAsia"/>
                <w:color w:val="auto"/>
                <w:sz w:val="21"/>
                <w:szCs w:val="21"/>
                <w:highlight w:val="none"/>
                <w:lang w:val="zh-CN"/>
              </w:rPr>
              <w:t>%。</w:t>
            </w:r>
          </w:p>
          <w:p w14:paraId="61A2C736">
            <w:pPr>
              <w:pStyle w:val="29"/>
              <w:spacing w:line="360" w:lineRule="auto"/>
              <w:ind w:firstLine="315" w:firstLineChars="150"/>
              <w:jc w:val="both"/>
              <w:rPr>
                <w:rFonts w:hint="eastAsia"/>
                <w:sz w:val="21"/>
                <w:szCs w:val="21"/>
                <w:highlight w:val="none"/>
                <w:lang w:val="zh-CN"/>
              </w:rPr>
            </w:pPr>
            <w:r>
              <w:rPr>
                <w:rFonts w:hint="eastAsia"/>
                <w:sz w:val="21"/>
                <w:szCs w:val="21"/>
                <w:highlight w:val="none"/>
                <w:lang w:val="zh-CN"/>
              </w:rPr>
              <w:t>（注：履约保证金收取不能超过采购合同金额的10%）。</w:t>
            </w:r>
          </w:p>
          <w:p w14:paraId="4601E179">
            <w:pPr>
              <w:pStyle w:val="29"/>
              <w:spacing w:line="360" w:lineRule="auto"/>
              <w:ind w:firstLine="315" w:firstLineChars="150"/>
              <w:jc w:val="both"/>
              <w:rPr>
                <w:rFonts w:hint="eastAsia"/>
                <w:sz w:val="21"/>
                <w:szCs w:val="21"/>
                <w:highlight w:val="none"/>
                <w:lang w:val="zh-CN"/>
              </w:rPr>
            </w:pPr>
            <w:r>
              <w:rPr>
                <w:rFonts w:hint="eastAsia"/>
                <w:sz w:val="21"/>
                <w:szCs w:val="21"/>
                <w:highlight w:val="none"/>
                <w:lang w:val="zh-CN"/>
              </w:rPr>
              <w:t>保证形式：现金担保或见索即付银行保函或采购人认可的国有担保公司</w:t>
            </w:r>
            <w:r>
              <w:rPr>
                <w:rFonts w:hint="eastAsia"/>
                <w:sz w:val="21"/>
                <w:szCs w:val="21"/>
                <w:highlight w:val="none"/>
              </w:rPr>
              <w:t>连带责任</w:t>
            </w:r>
            <w:r>
              <w:rPr>
                <w:rFonts w:hint="eastAsia"/>
                <w:sz w:val="21"/>
                <w:szCs w:val="21"/>
                <w:highlight w:val="none"/>
                <w:lang w:val="zh-CN"/>
              </w:rPr>
              <w:t>担保函。</w:t>
            </w:r>
          </w:p>
          <w:p w14:paraId="46A903CA">
            <w:pPr>
              <w:pStyle w:val="29"/>
              <w:spacing w:line="360" w:lineRule="auto"/>
              <w:ind w:firstLine="315" w:firstLineChars="150"/>
              <w:jc w:val="both"/>
              <w:rPr>
                <w:rFonts w:hint="eastAsia"/>
                <w:sz w:val="21"/>
                <w:szCs w:val="21"/>
                <w:highlight w:val="none"/>
                <w:lang w:val="zh-CN"/>
              </w:rPr>
            </w:pPr>
            <w:r>
              <w:rPr>
                <w:rFonts w:hint="eastAsia"/>
                <w:sz w:val="21"/>
                <w:szCs w:val="21"/>
                <w:highlight w:val="none"/>
                <w:lang w:val="zh-CN"/>
              </w:rPr>
              <w:t>现金担保必须通过成交供应商的基本账户以银行转账方式缴纳。</w:t>
            </w:r>
          </w:p>
          <w:p w14:paraId="4A76BEDA">
            <w:pPr>
              <w:pStyle w:val="29"/>
              <w:spacing w:line="360" w:lineRule="auto"/>
              <w:ind w:firstLine="210" w:firstLineChars="100"/>
              <w:jc w:val="both"/>
              <w:rPr>
                <w:rFonts w:hint="eastAsia"/>
                <w:sz w:val="21"/>
                <w:szCs w:val="21"/>
                <w:highlight w:val="none"/>
                <w:lang w:val="zh-CN"/>
              </w:rPr>
            </w:pPr>
            <w:r>
              <w:rPr>
                <w:rFonts w:hint="eastAsia"/>
                <w:sz w:val="21"/>
                <w:szCs w:val="21"/>
                <w:highlight w:val="none"/>
                <w:lang w:val="zh-CN"/>
              </w:rPr>
              <w:t>收款单位：</w:t>
            </w:r>
            <w:r>
              <w:rPr>
                <w:rFonts w:hint="eastAsia" w:cs="宋体"/>
                <w:color w:val="auto"/>
                <w:sz w:val="21"/>
                <w:szCs w:val="21"/>
                <w:highlight w:val="none"/>
                <w:lang w:val="en-US" w:eastAsia="zh-CN" w:bidi="ar"/>
              </w:rPr>
              <w:t>泸州裕阳投资发展有限公司</w:t>
            </w:r>
            <w:r>
              <w:rPr>
                <w:rFonts w:hint="eastAsia"/>
                <w:sz w:val="21"/>
                <w:szCs w:val="21"/>
                <w:highlight w:val="none"/>
                <w:lang w:val="zh-CN"/>
              </w:rPr>
              <w:t>；</w:t>
            </w:r>
          </w:p>
          <w:p w14:paraId="59085A36">
            <w:pPr>
              <w:pStyle w:val="29"/>
              <w:spacing w:line="360" w:lineRule="auto"/>
              <w:ind w:firstLine="210" w:firstLineChars="100"/>
              <w:jc w:val="both"/>
              <w:rPr>
                <w:color w:val="auto"/>
                <w:sz w:val="21"/>
                <w:szCs w:val="21"/>
                <w:highlight w:val="none"/>
              </w:rPr>
            </w:pPr>
            <w:r>
              <w:rPr>
                <w:rFonts w:hint="eastAsia"/>
                <w:color w:val="auto"/>
                <w:sz w:val="21"/>
                <w:szCs w:val="21"/>
                <w:highlight w:val="none"/>
                <w:lang w:val="zh-CN"/>
              </w:rPr>
              <w:t>开户银行：</w:t>
            </w:r>
            <w:r>
              <w:rPr>
                <w:rFonts w:hint="eastAsia"/>
                <w:color w:val="auto"/>
                <w:sz w:val="21"/>
                <w:szCs w:val="21"/>
                <w:highlight w:val="none"/>
                <w:lang w:val="en-US" w:eastAsia="zh-CN"/>
              </w:rPr>
              <w:t>泸州银行江阳支行</w:t>
            </w:r>
            <w:r>
              <w:rPr>
                <w:rFonts w:hint="eastAsia"/>
                <w:color w:val="auto"/>
                <w:sz w:val="21"/>
                <w:szCs w:val="21"/>
                <w:highlight w:val="none"/>
                <w:lang w:val="zh-CN"/>
              </w:rPr>
              <w:t>；</w:t>
            </w:r>
          </w:p>
          <w:p w14:paraId="26F290C6">
            <w:pPr>
              <w:pStyle w:val="29"/>
              <w:spacing w:line="360" w:lineRule="auto"/>
              <w:ind w:firstLine="210" w:firstLineChars="100"/>
              <w:jc w:val="both"/>
              <w:rPr>
                <w:rFonts w:hint="eastAsia" w:eastAsia="宋体"/>
                <w:color w:val="auto"/>
                <w:sz w:val="21"/>
                <w:szCs w:val="21"/>
                <w:highlight w:val="none"/>
                <w:lang w:eastAsia="zh-CN"/>
              </w:rPr>
            </w:pPr>
            <w:r>
              <w:rPr>
                <w:rFonts w:hint="eastAsia"/>
                <w:color w:val="auto"/>
                <w:sz w:val="21"/>
                <w:szCs w:val="21"/>
                <w:highlight w:val="none"/>
                <w:lang w:val="zh-CN"/>
              </w:rPr>
              <w:t>银行账户：</w:t>
            </w:r>
            <w:r>
              <w:rPr>
                <w:rFonts w:hint="eastAsia"/>
                <w:color w:val="auto"/>
                <w:sz w:val="21"/>
                <w:szCs w:val="21"/>
                <w:highlight w:val="none"/>
                <w:lang w:val="en-US" w:eastAsia="zh-CN"/>
              </w:rPr>
              <w:t>2011100000114661</w:t>
            </w:r>
            <w:r>
              <w:rPr>
                <w:rFonts w:hint="eastAsia"/>
                <w:color w:val="auto"/>
                <w:sz w:val="21"/>
                <w:szCs w:val="21"/>
                <w:highlight w:val="none"/>
                <w:lang w:val="zh-CN"/>
              </w:rPr>
              <w:t>；</w:t>
            </w:r>
          </w:p>
          <w:p w14:paraId="71CED3E6">
            <w:pPr>
              <w:pStyle w:val="29"/>
              <w:spacing w:line="360" w:lineRule="auto"/>
              <w:ind w:firstLine="315" w:firstLineChars="150"/>
              <w:jc w:val="both"/>
              <w:rPr>
                <w:rFonts w:cs="宋体"/>
                <w:sz w:val="21"/>
                <w:szCs w:val="21"/>
                <w:highlight w:val="none"/>
              </w:rPr>
            </w:pPr>
            <w:r>
              <w:rPr>
                <w:rFonts w:hint="eastAsia"/>
                <w:sz w:val="21"/>
                <w:szCs w:val="21"/>
                <w:highlight w:val="none"/>
                <w:lang w:val="zh-CN"/>
              </w:rPr>
              <w:t>交款时间：</w:t>
            </w:r>
            <w:r>
              <w:rPr>
                <w:rFonts w:hint="eastAsia"/>
                <w:sz w:val="21"/>
                <w:szCs w:val="21"/>
                <w:highlight w:val="none"/>
                <w:lang w:val="en-US" w:eastAsia="zh-CN"/>
              </w:rPr>
              <w:t>成交中选通知书发放后，采购合同签订前。</w:t>
            </w:r>
          </w:p>
        </w:tc>
      </w:tr>
      <w:permEnd w:id="42"/>
      <w:tr w14:paraId="75AECA8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811" w:hRule="exact"/>
        </w:trPr>
        <w:tc>
          <w:tcPr>
            <w:tcW w:w="600" w:type="dxa"/>
            <w:noWrap w:val="0"/>
            <w:vAlign w:val="center"/>
          </w:tcPr>
          <w:p w14:paraId="5ADB9A61">
            <w:pPr>
              <w:pStyle w:val="29"/>
              <w:spacing w:line="360" w:lineRule="auto"/>
              <w:ind w:right="230"/>
              <w:jc w:val="center"/>
              <w:rPr>
                <w:rFonts w:hint="eastAsia" w:cs="宋体"/>
                <w:sz w:val="21"/>
                <w:szCs w:val="21"/>
                <w:highlight w:val="none"/>
              </w:rPr>
            </w:pPr>
            <w:r>
              <w:rPr>
                <w:rFonts w:hint="eastAsia" w:cs="宋体"/>
                <w:sz w:val="21"/>
                <w:szCs w:val="21"/>
                <w:highlight w:val="none"/>
              </w:rPr>
              <w:t>12</w:t>
            </w:r>
          </w:p>
        </w:tc>
        <w:tc>
          <w:tcPr>
            <w:tcW w:w="1792" w:type="dxa"/>
            <w:noWrap w:val="0"/>
            <w:vAlign w:val="center"/>
          </w:tcPr>
          <w:p w14:paraId="5C242353">
            <w:pPr>
              <w:pStyle w:val="29"/>
              <w:spacing w:line="360" w:lineRule="auto"/>
              <w:ind w:left="38"/>
              <w:jc w:val="center"/>
              <w:rPr>
                <w:rFonts w:hint="eastAsia" w:cs="宋体"/>
                <w:sz w:val="21"/>
                <w:szCs w:val="21"/>
                <w:highlight w:val="none"/>
              </w:rPr>
            </w:pPr>
            <w:r>
              <w:rPr>
                <w:rFonts w:hint="eastAsia" w:cs="宋体"/>
                <w:bCs/>
                <w:sz w:val="21"/>
                <w:szCs w:val="21"/>
                <w:highlight w:val="none"/>
              </w:rPr>
              <w:t>磋商</w:t>
            </w:r>
            <w:r>
              <w:rPr>
                <w:rFonts w:hint="eastAsia" w:cs="宋体"/>
                <w:sz w:val="21"/>
                <w:szCs w:val="21"/>
                <w:highlight w:val="none"/>
                <w:lang w:val="zh-CN"/>
              </w:rPr>
              <w:t>文件咨询</w:t>
            </w:r>
          </w:p>
        </w:tc>
        <w:tc>
          <w:tcPr>
            <w:tcW w:w="7061" w:type="dxa"/>
            <w:noWrap w:val="0"/>
            <w:vAlign w:val="center"/>
          </w:tcPr>
          <w:p w14:paraId="55B9F278">
            <w:pPr>
              <w:pStyle w:val="29"/>
              <w:spacing w:line="360" w:lineRule="auto"/>
              <w:ind w:firstLine="210" w:firstLineChars="100"/>
              <w:jc w:val="both"/>
              <w:rPr>
                <w:rFonts w:hint="eastAsia" w:eastAsia="宋体" w:cs="宋体"/>
                <w:sz w:val="21"/>
                <w:szCs w:val="21"/>
                <w:highlight w:val="none"/>
                <w:lang w:eastAsia="zh-CN"/>
              </w:rPr>
            </w:pPr>
            <w:r>
              <w:rPr>
                <w:rFonts w:hint="eastAsia" w:cs="宋体"/>
                <w:sz w:val="21"/>
                <w:szCs w:val="21"/>
                <w:highlight w:val="none"/>
                <w:lang w:val="zh-CN"/>
              </w:rPr>
              <w:t>联系人：</w:t>
            </w:r>
            <w:permStart w:id="43" w:edGrp="everyone"/>
            <w:r>
              <w:rPr>
                <w:rFonts w:hint="eastAsia" w:cs="宋体"/>
                <w:sz w:val="21"/>
                <w:szCs w:val="21"/>
                <w:highlight w:val="none"/>
                <w:lang w:val="en-US" w:eastAsia="zh-CN"/>
              </w:rPr>
              <w:t>颜先生</w:t>
            </w:r>
          </w:p>
          <w:permEnd w:id="43"/>
          <w:p w14:paraId="3D6B41F2">
            <w:pPr>
              <w:pStyle w:val="29"/>
              <w:spacing w:line="360" w:lineRule="auto"/>
              <w:ind w:firstLine="210" w:firstLineChars="100"/>
              <w:jc w:val="both"/>
              <w:rPr>
                <w:rFonts w:hint="eastAsia" w:eastAsia="宋体" w:cs="宋体"/>
                <w:sz w:val="21"/>
                <w:szCs w:val="21"/>
                <w:highlight w:val="none"/>
                <w:lang w:eastAsia="zh-CN"/>
              </w:rPr>
            </w:pPr>
            <w:r>
              <w:rPr>
                <w:rFonts w:hint="eastAsia" w:cs="宋体"/>
                <w:sz w:val="21"/>
                <w:szCs w:val="21"/>
                <w:highlight w:val="none"/>
                <w:lang w:val="zh-CN"/>
              </w:rPr>
              <w:t>联系电话：</w:t>
            </w:r>
            <w:permStart w:id="44" w:edGrp="everyone"/>
            <w:r>
              <w:rPr>
                <w:rFonts w:hint="eastAsia" w:ascii="宋体" w:hAnsi="宋体" w:eastAsia="宋体" w:cs="Times New Roman"/>
                <w:sz w:val="21"/>
                <w:szCs w:val="21"/>
                <w:highlight w:val="none"/>
                <w:lang w:val="en-US" w:eastAsia="zh-CN"/>
              </w:rPr>
              <w:t>0830-6522206</w:t>
            </w:r>
            <w:permEnd w:id="44"/>
          </w:p>
        </w:tc>
      </w:tr>
      <w:tr w14:paraId="4274BD4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811" w:hRule="exact"/>
        </w:trPr>
        <w:tc>
          <w:tcPr>
            <w:tcW w:w="600" w:type="dxa"/>
            <w:noWrap w:val="0"/>
            <w:vAlign w:val="center"/>
          </w:tcPr>
          <w:p w14:paraId="783BD5C2">
            <w:pPr>
              <w:pStyle w:val="29"/>
              <w:spacing w:line="360" w:lineRule="auto"/>
              <w:ind w:right="230"/>
              <w:jc w:val="center"/>
              <w:rPr>
                <w:rFonts w:hint="eastAsia" w:cs="宋体"/>
                <w:sz w:val="21"/>
                <w:szCs w:val="21"/>
                <w:highlight w:val="none"/>
              </w:rPr>
            </w:pPr>
            <w:r>
              <w:rPr>
                <w:rFonts w:hint="eastAsia" w:cs="宋体"/>
                <w:sz w:val="21"/>
                <w:szCs w:val="21"/>
                <w:highlight w:val="none"/>
              </w:rPr>
              <w:t>13</w:t>
            </w:r>
          </w:p>
        </w:tc>
        <w:tc>
          <w:tcPr>
            <w:tcW w:w="1792" w:type="dxa"/>
            <w:noWrap w:val="0"/>
            <w:vAlign w:val="center"/>
          </w:tcPr>
          <w:p w14:paraId="7BE063BE">
            <w:pPr>
              <w:pStyle w:val="29"/>
              <w:spacing w:line="360" w:lineRule="auto"/>
              <w:ind w:left="38"/>
              <w:jc w:val="center"/>
              <w:rPr>
                <w:rFonts w:hint="eastAsia" w:cs="宋体"/>
                <w:sz w:val="21"/>
                <w:szCs w:val="21"/>
                <w:highlight w:val="none"/>
              </w:rPr>
            </w:pPr>
            <w:r>
              <w:rPr>
                <w:rFonts w:hint="eastAsia" w:cs="宋体"/>
                <w:sz w:val="21"/>
                <w:szCs w:val="21"/>
                <w:highlight w:val="none"/>
                <w:lang w:val="zh-CN"/>
              </w:rPr>
              <w:t>磋商过程、结果工作咨询</w:t>
            </w:r>
          </w:p>
        </w:tc>
        <w:tc>
          <w:tcPr>
            <w:tcW w:w="7061" w:type="dxa"/>
            <w:noWrap w:val="0"/>
            <w:vAlign w:val="center"/>
          </w:tcPr>
          <w:p w14:paraId="1545B095">
            <w:pPr>
              <w:pStyle w:val="29"/>
              <w:spacing w:line="360" w:lineRule="auto"/>
              <w:ind w:firstLine="210" w:firstLineChars="100"/>
              <w:jc w:val="both"/>
              <w:rPr>
                <w:rFonts w:hint="eastAsia" w:eastAsia="宋体" w:cs="宋体"/>
                <w:sz w:val="21"/>
                <w:szCs w:val="21"/>
                <w:highlight w:val="none"/>
                <w:lang w:eastAsia="zh-CN"/>
              </w:rPr>
            </w:pPr>
            <w:r>
              <w:rPr>
                <w:rFonts w:hint="eastAsia" w:cs="宋体"/>
                <w:sz w:val="21"/>
                <w:szCs w:val="21"/>
                <w:highlight w:val="none"/>
                <w:lang w:val="zh-CN"/>
              </w:rPr>
              <w:t>联系人：</w:t>
            </w:r>
            <w:permStart w:id="45" w:edGrp="everyone"/>
            <w:r>
              <w:rPr>
                <w:rFonts w:hint="eastAsia" w:cs="宋体"/>
                <w:sz w:val="21"/>
                <w:szCs w:val="21"/>
                <w:highlight w:val="none"/>
                <w:lang w:val="en-US" w:eastAsia="zh-CN"/>
              </w:rPr>
              <w:t>颜先生</w:t>
            </w:r>
          </w:p>
          <w:permEnd w:id="45"/>
          <w:p w14:paraId="257F872E">
            <w:pPr>
              <w:pStyle w:val="29"/>
              <w:spacing w:line="360" w:lineRule="auto"/>
              <w:ind w:firstLine="210" w:firstLineChars="100"/>
              <w:jc w:val="both"/>
              <w:rPr>
                <w:rFonts w:hint="eastAsia" w:eastAsia="宋体" w:cs="宋体"/>
                <w:sz w:val="21"/>
                <w:szCs w:val="21"/>
                <w:highlight w:val="none"/>
                <w:lang w:eastAsia="zh-CN"/>
              </w:rPr>
            </w:pPr>
            <w:r>
              <w:rPr>
                <w:rFonts w:hint="eastAsia" w:cs="宋体"/>
                <w:sz w:val="21"/>
                <w:szCs w:val="21"/>
                <w:highlight w:val="none"/>
                <w:lang w:val="zh-CN"/>
              </w:rPr>
              <w:t>联系电话：</w:t>
            </w:r>
            <w:permStart w:id="46" w:edGrp="everyone"/>
            <w:r>
              <w:rPr>
                <w:rFonts w:hint="eastAsia" w:ascii="宋体" w:hAnsi="宋体" w:eastAsia="宋体" w:cs="Times New Roman"/>
                <w:sz w:val="21"/>
                <w:szCs w:val="21"/>
                <w:highlight w:val="none"/>
                <w:lang w:val="en-US" w:eastAsia="zh-CN"/>
              </w:rPr>
              <w:t>0830-6522206</w:t>
            </w:r>
            <w:permEnd w:id="46"/>
          </w:p>
        </w:tc>
      </w:tr>
      <w:tr w14:paraId="45EB1143">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54" w:hRule="exact"/>
        </w:trPr>
        <w:tc>
          <w:tcPr>
            <w:tcW w:w="600" w:type="dxa"/>
            <w:noWrap w:val="0"/>
            <w:vAlign w:val="center"/>
          </w:tcPr>
          <w:p w14:paraId="76E89F69">
            <w:pPr>
              <w:pStyle w:val="29"/>
              <w:spacing w:line="360" w:lineRule="auto"/>
              <w:ind w:right="230"/>
              <w:jc w:val="center"/>
              <w:rPr>
                <w:rFonts w:hint="eastAsia" w:cs="宋体"/>
                <w:sz w:val="21"/>
                <w:szCs w:val="21"/>
                <w:highlight w:val="none"/>
              </w:rPr>
            </w:pPr>
            <w:r>
              <w:rPr>
                <w:rFonts w:hint="eastAsia" w:cs="宋体"/>
                <w:sz w:val="21"/>
                <w:szCs w:val="21"/>
                <w:highlight w:val="none"/>
              </w:rPr>
              <w:t>14</w:t>
            </w:r>
          </w:p>
        </w:tc>
        <w:tc>
          <w:tcPr>
            <w:tcW w:w="1792" w:type="dxa"/>
            <w:noWrap w:val="0"/>
            <w:vAlign w:val="center"/>
          </w:tcPr>
          <w:p w14:paraId="23139284">
            <w:pPr>
              <w:pStyle w:val="29"/>
              <w:spacing w:line="360" w:lineRule="auto"/>
              <w:jc w:val="center"/>
              <w:rPr>
                <w:rFonts w:hint="eastAsia" w:cs="宋体"/>
                <w:sz w:val="21"/>
                <w:szCs w:val="21"/>
                <w:highlight w:val="none"/>
                <w:lang w:val="zh-CN"/>
              </w:rPr>
            </w:pPr>
            <w:r>
              <w:rPr>
                <w:rFonts w:hint="eastAsia" w:cs="宋体"/>
                <w:bCs/>
                <w:sz w:val="21"/>
                <w:szCs w:val="21"/>
                <w:highlight w:val="none"/>
              </w:rPr>
              <w:t>确定成交供应商</w:t>
            </w:r>
          </w:p>
        </w:tc>
        <w:tc>
          <w:tcPr>
            <w:tcW w:w="7061" w:type="dxa"/>
            <w:noWrap w:val="0"/>
            <w:vAlign w:val="center"/>
          </w:tcPr>
          <w:p w14:paraId="1272CCB0">
            <w:pPr>
              <w:pStyle w:val="29"/>
              <w:spacing w:line="360" w:lineRule="auto"/>
              <w:rPr>
                <w:rFonts w:hint="eastAsia" w:cs="宋体"/>
                <w:sz w:val="21"/>
                <w:szCs w:val="21"/>
                <w:highlight w:val="none"/>
                <w:lang w:val="zh-CN"/>
              </w:rPr>
            </w:pPr>
            <w:permStart w:id="47" w:edGrp="everyone"/>
            <w:r>
              <w:rPr>
                <w:rFonts w:hint="eastAsia" w:cs="宋体"/>
                <w:b/>
                <w:bCs/>
                <w:sz w:val="21"/>
                <w:szCs w:val="21"/>
                <w:highlight w:val="none"/>
              </w:rPr>
              <w:t>综合评分得分最高</w:t>
            </w:r>
            <w:r>
              <w:rPr>
                <w:rFonts w:hint="eastAsia" w:cs="宋体"/>
                <w:sz w:val="21"/>
                <w:szCs w:val="21"/>
                <w:highlight w:val="none"/>
              </w:rPr>
              <w:t>的申请人为成交供应商，得分相同的，由采购人确定成交供应商。</w:t>
            </w:r>
            <w:permEnd w:id="47"/>
          </w:p>
        </w:tc>
      </w:tr>
      <w:tr w14:paraId="448854D9">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75" w:hRule="exact"/>
        </w:trPr>
        <w:tc>
          <w:tcPr>
            <w:tcW w:w="600" w:type="dxa"/>
            <w:noWrap w:val="0"/>
            <w:vAlign w:val="center"/>
          </w:tcPr>
          <w:p w14:paraId="12030A8E">
            <w:pPr>
              <w:pStyle w:val="29"/>
              <w:spacing w:line="360" w:lineRule="auto"/>
              <w:ind w:right="230"/>
              <w:jc w:val="center"/>
              <w:rPr>
                <w:rFonts w:hint="eastAsia" w:cs="宋体"/>
                <w:sz w:val="21"/>
                <w:szCs w:val="21"/>
                <w:highlight w:val="none"/>
              </w:rPr>
            </w:pPr>
            <w:r>
              <w:rPr>
                <w:rFonts w:hint="eastAsia" w:cs="宋体"/>
                <w:sz w:val="21"/>
                <w:szCs w:val="21"/>
                <w:highlight w:val="none"/>
              </w:rPr>
              <w:t>15</w:t>
            </w:r>
          </w:p>
        </w:tc>
        <w:tc>
          <w:tcPr>
            <w:tcW w:w="1792" w:type="dxa"/>
            <w:noWrap w:val="0"/>
            <w:vAlign w:val="center"/>
          </w:tcPr>
          <w:p w14:paraId="24B1FF95">
            <w:pPr>
              <w:pStyle w:val="29"/>
              <w:spacing w:line="360" w:lineRule="auto"/>
              <w:ind w:left="96"/>
              <w:jc w:val="center"/>
              <w:rPr>
                <w:rFonts w:hint="eastAsia" w:cs="宋体"/>
                <w:sz w:val="21"/>
                <w:szCs w:val="21"/>
                <w:highlight w:val="none"/>
                <w:lang w:val="zh-CN"/>
              </w:rPr>
            </w:pPr>
            <w:r>
              <w:rPr>
                <w:rFonts w:hint="eastAsia" w:cs="宋体"/>
                <w:sz w:val="21"/>
                <w:szCs w:val="21"/>
                <w:highlight w:val="none"/>
              </w:rPr>
              <w:t>磋商报价</w:t>
            </w:r>
          </w:p>
        </w:tc>
        <w:tc>
          <w:tcPr>
            <w:tcW w:w="7061" w:type="dxa"/>
            <w:noWrap w:val="0"/>
            <w:vAlign w:val="center"/>
          </w:tcPr>
          <w:p w14:paraId="574E3865">
            <w:pPr>
              <w:pStyle w:val="27"/>
              <w:spacing w:line="360" w:lineRule="auto"/>
              <w:ind w:firstLine="0"/>
              <w:rPr>
                <w:rFonts w:hint="eastAsia" w:ascii="宋体" w:hAnsi="宋体" w:cs="宋体"/>
                <w:highlight w:val="none"/>
              </w:rPr>
            </w:pPr>
            <w:r>
              <w:rPr>
                <w:rFonts w:hint="eastAsia" w:ascii="宋体" w:hAnsi="宋体" w:cs="宋体"/>
                <w:highlight w:val="none"/>
              </w:rPr>
              <w:t>1.供应商自主报价；</w:t>
            </w:r>
          </w:p>
          <w:p w14:paraId="0E9A43B2">
            <w:pPr>
              <w:pStyle w:val="27"/>
              <w:spacing w:line="360" w:lineRule="auto"/>
              <w:ind w:firstLine="0"/>
              <w:rPr>
                <w:rFonts w:hint="eastAsia" w:ascii="宋体" w:hAnsi="宋体" w:cs="宋体"/>
                <w:b/>
                <w:highlight w:val="none"/>
                <w:lang w:val="zh-CN"/>
              </w:rPr>
            </w:pPr>
            <w:r>
              <w:rPr>
                <w:rFonts w:hint="eastAsia" w:ascii="宋体" w:hAnsi="宋体" w:cs="宋体"/>
                <w:highlight w:val="none"/>
              </w:rPr>
              <w:t>2.报价保</w:t>
            </w:r>
            <w:permStart w:id="48" w:edGrp="everyone"/>
            <w:r>
              <w:rPr>
                <w:rFonts w:hint="eastAsia" w:ascii="宋体" w:hAnsi="宋体" w:cs="宋体"/>
                <w:highlight w:val="none"/>
                <w:lang w:val="en-US" w:eastAsia="zh-CN"/>
              </w:rPr>
              <w:t>0</w:t>
            </w:r>
            <w:permEnd w:id="48"/>
            <w:r>
              <w:rPr>
                <w:rFonts w:hint="eastAsia" w:ascii="宋体" w:hAnsi="宋体" w:cs="宋体"/>
                <w:highlight w:val="none"/>
              </w:rPr>
              <w:t>位小数（小数位数不作废标处理）。</w:t>
            </w:r>
          </w:p>
        </w:tc>
      </w:tr>
      <w:tr w14:paraId="51BC231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868" w:hRule="exact"/>
        </w:trPr>
        <w:tc>
          <w:tcPr>
            <w:tcW w:w="600" w:type="dxa"/>
            <w:noWrap w:val="0"/>
            <w:vAlign w:val="center"/>
          </w:tcPr>
          <w:p w14:paraId="1A94A77F">
            <w:pPr>
              <w:pStyle w:val="29"/>
              <w:spacing w:line="360" w:lineRule="auto"/>
              <w:ind w:right="230"/>
              <w:jc w:val="center"/>
              <w:rPr>
                <w:rFonts w:hint="eastAsia" w:cs="宋体"/>
                <w:sz w:val="21"/>
                <w:szCs w:val="21"/>
                <w:highlight w:val="none"/>
              </w:rPr>
            </w:pPr>
            <w:r>
              <w:rPr>
                <w:rFonts w:hint="eastAsia" w:cs="宋体"/>
                <w:sz w:val="21"/>
                <w:szCs w:val="21"/>
                <w:highlight w:val="none"/>
              </w:rPr>
              <w:t>16</w:t>
            </w:r>
          </w:p>
        </w:tc>
        <w:tc>
          <w:tcPr>
            <w:tcW w:w="1792" w:type="dxa"/>
            <w:noWrap w:val="0"/>
            <w:vAlign w:val="center"/>
          </w:tcPr>
          <w:p w14:paraId="4F96C660">
            <w:pPr>
              <w:pStyle w:val="29"/>
              <w:spacing w:line="360" w:lineRule="auto"/>
              <w:ind w:left="38"/>
              <w:jc w:val="center"/>
              <w:rPr>
                <w:rFonts w:hint="eastAsia" w:cs="宋体"/>
                <w:sz w:val="21"/>
                <w:szCs w:val="21"/>
                <w:highlight w:val="none"/>
              </w:rPr>
            </w:pPr>
            <w:r>
              <w:rPr>
                <w:rFonts w:hint="eastAsia" w:cs="宋体"/>
                <w:sz w:val="21"/>
                <w:szCs w:val="21"/>
                <w:highlight w:val="none"/>
              </w:rPr>
              <w:t>质量标准</w:t>
            </w:r>
          </w:p>
        </w:tc>
        <w:tc>
          <w:tcPr>
            <w:tcW w:w="7061" w:type="dxa"/>
            <w:noWrap w:val="0"/>
            <w:vAlign w:val="center"/>
          </w:tcPr>
          <w:p w14:paraId="01770F6E">
            <w:pPr>
              <w:pStyle w:val="29"/>
              <w:spacing w:line="360" w:lineRule="auto"/>
              <w:jc w:val="both"/>
              <w:rPr>
                <w:rFonts w:hint="eastAsia" w:cs="宋体"/>
                <w:b/>
                <w:sz w:val="21"/>
                <w:szCs w:val="21"/>
                <w:highlight w:val="none"/>
              </w:rPr>
            </w:pPr>
            <w:permStart w:id="49" w:edGrp="everyone"/>
            <w:r>
              <w:rPr>
                <w:rFonts w:hint="eastAsia" w:cs="宋体"/>
                <w:bCs/>
                <w:sz w:val="21"/>
                <w:szCs w:val="21"/>
                <w:highlight w:val="none"/>
              </w:rPr>
              <w:t>满足国家和行业相关质量规范、标准。</w:t>
            </w:r>
            <w:permEnd w:id="49"/>
          </w:p>
        </w:tc>
      </w:tr>
      <w:tr w14:paraId="7B46A178">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77" w:hRule="exact"/>
        </w:trPr>
        <w:tc>
          <w:tcPr>
            <w:tcW w:w="600" w:type="dxa"/>
            <w:noWrap w:val="0"/>
            <w:vAlign w:val="center"/>
          </w:tcPr>
          <w:p w14:paraId="7982F694">
            <w:pPr>
              <w:pStyle w:val="29"/>
              <w:spacing w:line="360" w:lineRule="auto"/>
              <w:ind w:right="230"/>
              <w:jc w:val="center"/>
              <w:rPr>
                <w:rFonts w:hint="eastAsia" w:cs="宋体"/>
                <w:sz w:val="21"/>
                <w:szCs w:val="21"/>
                <w:highlight w:val="none"/>
              </w:rPr>
            </w:pPr>
            <w:r>
              <w:rPr>
                <w:rFonts w:hint="eastAsia" w:cs="宋体"/>
                <w:sz w:val="21"/>
                <w:szCs w:val="21"/>
                <w:highlight w:val="none"/>
              </w:rPr>
              <w:t>17</w:t>
            </w:r>
          </w:p>
        </w:tc>
        <w:tc>
          <w:tcPr>
            <w:tcW w:w="1792" w:type="dxa"/>
            <w:noWrap w:val="0"/>
            <w:vAlign w:val="center"/>
          </w:tcPr>
          <w:p w14:paraId="2C92CADB">
            <w:pPr>
              <w:pStyle w:val="29"/>
              <w:spacing w:line="360" w:lineRule="auto"/>
              <w:ind w:left="96"/>
              <w:jc w:val="center"/>
              <w:rPr>
                <w:rFonts w:hint="eastAsia" w:cs="宋体"/>
                <w:sz w:val="21"/>
                <w:szCs w:val="21"/>
                <w:highlight w:val="none"/>
              </w:rPr>
            </w:pPr>
            <w:r>
              <w:rPr>
                <w:rFonts w:hint="eastAsia" w:cs="宋体"/>
                <w:sz w:val="21"/>
                <w:szCs w:val="21"/>
                <w:highlight w:val="none"/>
              </w:rPr>
              <w:t>评审方法</w:t>
            </w:r>
          </w:p>
        </w:tc>
        <w:tc>
          <w:tcPr>
            <w:tcW w:w="7061" w:type="dxa"/>
            <w:noWrap w:val="0"/>
            <w:vAlign w:val="center"/>
          </w:tcPr>
          <w:p w14:paraId="163259A8">
            <w:pPr>
              <w:pStyle w:val="29"/>
              <w:spacing w:line="360" w:lineRule="auto"/>
              <w:rPr>
                <w:rFonts w:hint="eastAsia" w:cs="宋体"/>
                <w:sz w:val="21"/>
                <w:szCs w:val="21"/>
                <w:highlight w:val="none"/>
              </w:rPr>
            </w:pPr>
            <w:r>
              <w:rPr>
                <w:rFonts w:hint="eastAsia" w:cs="宋体"/>
                <w:sz w:val="21"/>
                <w:szCs w:val="21"/>
                <w:highlight w:val="none"/>
              </w:rPr>
              <w:t>综合评分法</w:t>
            </w:r>
          </w:p>
        </w:tc>
      </w:tr>
      <w:tr w14:paraId="2F2580FA">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3" w:hRule="exact"/>
        </w:trPr>
        <w:tc>
          <w:tcPr>
            <w:tcW w:w="600" w:type="dxa"/>
            <w:noWrap w:val="0"/>
            <w:vAlign w:val="center"/>
          </w:tcPr>
          <w:p w14:paraId="298C53BB">
            <w:pPr>
              <w:pStyle w:val="29"/>
              <w:spacing w:line="360" w:lineRule="auto"/>
              <w:ind w:right="230"/>
              <w:jc w:val="center"/>
              <w:rPr>
                <w:rFonts w:hint="eastAsia" w:cs="宋体"/>
                <w:sz w:val="21"/>
                <w:szCs w:val="21"/>
                <w:highlight w:val="none"/>
              </w:rPr>
            </w:pPr>
            <w:r>
              <w:rPr>
                <w:rFonts w:hint="eastAsia" w:cs="宋体"/>
                <w:sz w:val="21"/>
                <w:szCs w:val="21"/>
                <w:highlight w:val="none"/>
              </w:rPr>
              <w:t>18</w:t>
            </w:r>
          </w:p>
        </w:tc>
        <w:tc>
          <w:tcPr>
            <w:tcW w:w="1792" w:type="dxa"/>
            <w:noWrap w:val="0"/>
            <w:vAlign w:val="center"/>
          </w:tcPr>
          <w:p w14:paraId="0849272B">
            <w:pPr>
              <w:pStyle w:val="29"/>
              <w:spacing w:line="360" w:lineRule="auto"/>
              <w:ind w:left="96"/>
              <w:jc w:val="center"/>
              <w:rPr>
                <w:rFonts w:hint="eastAsia" w:cs="宋体"/>
                <w:sz w:val="21"/>
                <w:szCs w:val="21"/>
                <w:highlight w:val="none"/>
              </w:rPr>
            </w:pPr>
            <w:r>
              <w:rPr>
                <w:rFonts w:hint="eastAsia" w:cs="宋体"/>
                <w:sz w:val="21"/>
                <w:szCs w:val="21"/>
                <w:highlight w:val="none"/>
              </w:rPr>
              <w:t>工期要求</w:t>
            </w:r>
          </w:p>
        </w:tc>
        <w:tc>
          <w:tcPr>
            <w:tcW w:w="7061" w:type="dxa"/>
            <w:noWrap w:val="0"/>
            <w:vAlign w:val="center"/>
          </w:tcPr>
          <w:p w14:paraId="16B8EC5F">
            <w:pPr>
              <w:spacing w:line="360" w:lineRule="auto"/>
              <w:rPr>
                <w:rFonts w:hint="eastAsia" w:ascii="宋体" w:hAnsi="宋体" w:eastAsia="宋体" w:cs="宋体"/>
                <w:b/>
                <w:bCs/>
                <w:highlight w:val="none"/>
                <w:lang w:eastAsia="zh-CN"/>
              </w:rPr>
            </w:pPr>
            <w:permStart w:id="50" w:edGrp="everyone"/>
            <w:r>
              <w:rPr>
                <w:rFonts w:hint="eastAsia" w:ascii="宋体" w:hAnsi="宋体" w:eastAsia="宋体" w:cs="宋体"/>
                <w:bCs/>
                <w:sz w:val="21"/>
                <w:szCs w:val="21"/>
                <w:highlight w:val="none"/>
                <w:lang w:val="en-US" w:eastAsia="zh-CN" w:bidi="ar-SA"/>
              </w:rPr>
              <w:t>签订</w:t>
            </w:r>
            <w:r>
              <w:rPr>
                <w:rFonts w:hint="eastAsia" w:ascii="宋体" w:hAnsi="宋体" w:cs="宋体"/>
                <w:bCs/>
                <w:sz w:val="21"/>
                <w:szCs w:val="21"/>
                <w:highlight w:val="none"/>
                <w:lang w:val="en-US" w:eastAsia="zh-CN" w:bidi="ar-SA"/>
              </w:rPr>
              <w:t>合同后服务期</w:t>
            </w:r>
            <w:r>
              <w:rPr>
                <w:rFonts w:hint="eastAsia" w:ascii="宋体" w:hAnsi="宋体" w:eastAsia="宋体" w:cs="宋体"/>
                <w:bCs/>
                <w:sz w:val="21"/>
                <w:szCs w:val="21"/>
                <w:highlight w:val="none"/>
                <w:lang w:val="en-US" w:eastAsia="zh-CN" w:bidi="ar-SA"/>
              </w:rPr>
              <w:t>1年</w:t>
            </w:r>
            <w:permEnd w:id="50"/>
          </w:p>
        </w:tc>
      </w:tr>
      <w:tr w14:paraId="719EEFF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noWrap w:val="0"/>
            <w:vAlign w:val="center"/>
          </w:tcPr>
          <w:p w14:paraId="5EE2E913">
            <w:pPr>
              <w:pStyle w:val="29"/>
              <w:spacing w:line="360" w:lineRule="auto"/>
              <w:ind w:right="230"/>
              <w:jc w:val="center"/>
              <w:rPr>
                <w:rFonts w:cs="宋体"/>
                <w:sz w:val="21"/>
                <w:szCs w:val="21"/>
                <w:highlight w:val="none"/>
              </w:rPr>
            </w:pPr>
            <w:r>
              <w:rPr>
                <w:rFonts w:hint="eastAsia" w:cs="宋体"/>
                <w:sz w:val="21"/>
                <w:szCs w:val="21"/>
                <w:highlight w:val="none"/>
              </w:rPr>
              <w:t>19</w:t>
            </w:r>
          </w:p>
        </w:tc>
        <w:tc>
          <w:tcPr>
            <w:tcW w:w="1792" w:type="dxa"/>
            <w:noWrap w:val="0"/>
            <w:vAlign w:val="center"/>
          </w:tcPr>
          <w:p w14:paraId="51696B27">
            <w:pPr>
              <w:pStyle w:val="29"/>
              <w:spacing w:line="360" w:lineRule="auto"/>
              <w:jc w:val="center"/>
              <w:rPr>
                <w:rFonts w:hint="eastAsia" w:cs="宋体"/>
                <w:sz w:val="21"/>
                <w:szCs w:val="21"/>
                <w:highlight w:val="none"/>
              </w:rPr>
            </w:pPr>
            <w:r>
              <w:rPr>
                <w:rFonts w:hint="eastAsia" w:cs="宋体"/>
                <w:sz w:val="21"/>
                <w:szCs w:val="21"/>
                <w:highlight w:val="none"/>
              </w:rPr>
              <w:t>磋商有效期</w:t>
            </w:r>
          </w:p>
        </w:tc>
        <w:tc>
          <w:tcPr>
            <w:tcW w:w="7061" w:type="dxa"/>
            <w:noWrap w:val="0"/>
            <w:vAlign w:val="center"/>
          </w:tcPr>
          <w:p w14:paraId="6FE34434">
            <w:pPr>
              <w:pStyle w:val="29"/>
              <w:spacing w:line="360" w:lineRule="auto"/>
              <w:rPr>
                <w:rFonts w:hint="eastAsia" w:cs="宋体"/>
                <w:sz w:val="21"/>
                <w:szCs w:val="21"/>
                <w:highlight w:val="none"/>
              </w:rPr>
            </w:pPr>
            <w:r>
              <w:rPr>
                <w:rFonts w:hint="eastAsia" w:cs="宋体"/>
                <w:sz w:val="21"/>
                <w:szCs w:val="21"/>
                <w:highlight w:val="none"/>
              </w:rPr>
              <w:t>磋商截止日期后</w:t>
            </w:r>
            <w:permStart w:id="51" w:edGrp="everyone"/>
            <w:r>
              <w:rPr>
                <w:rFonts w:hint="eastAsia" w:cs="宋体"/>
                <w:sz w:val="21"/>
                <w:szCs w:val="21"/>
                <w:highlight w:val="none"/>
              </w:rPr>
              <w:t>90</w:t>
            </w:r>
            <w:permEnd w:id="51"/>
            <w:r>
              <w:rPr>
                <w:rFonts w:hint="eastAsia" w:cs="宋体"/>
                <w:sz w:val="21"/>
                <w:szCs w:val="21"/>
                <w:highlight w:val="none"/>
              </w:rPr>
              <w:t>天</w:t>
            </w:r>
          </w:p>
        </w:tc>
      </w:tr>
      <w:tr w14:paraId="2B15396F">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23" w:hRule="atLeast"/>
        </w:trPr>
        <w:tc>
          <w:tcPr>
            <w:tcW w:w="600" w:type="dxa"/>
            <w:noWrap w:val="0"/>
            <w:vAlign w:val="center"/>
          </w:tcPr>
          <w:p w14:paraId="6B7BC38E">
            <w:pPr>
              <w:pStyle w:val="29"/>
              <w:spacing w:line="360" w:lineRule="auto"/>
              <w:ind w:right="230"/>
              <w:jc w:val="center"/>
              <w:rPr>
                <w:rFonts w:cs="宋体"/>
                <w:sz w:val="21"/>
                <w:szCs w:val="21"/>
                <w:highlight w:val="none"/>
              </w:rPr>
            </w:pPr>
            <w:r>
              <w:rPr>
                <w:rFonts w:hint="eastAsia" w:cs="宋体"/>
                <w:sz w:val="21"/>
                <w:szCs w:val="21"/>
                <w:highlight w:val="none"/>
              </w:rPr>
              <w:t>20</w:t>
            </w:r>
          </w:p>
        </w:tc>
        <w:tc>
          <w:tcPr>
            <w:tcW w:w="1792" w:type="dxa"/>
            <w:noWrap w:val="0"/>
            <w:vAlign w:val="center"/>
          </w:tcPr>
          <w:p w14:paraId="6B2BBDA5">
            <w:pPr>
              <w:pStyle w:val="29"/>
              <w:spacing w:line="360" w:lineRule="auto"/>
              <w:ind w:left="96"/>
              <w:jc w:val="center"/>
              <w:rPr>
                <w:rFonts w:hint="eastAsia" w:cs="宋体"/>
                <w:sz w:val="21"/>
                <w:szCs w:val="21"/>
                <w:highlight w:val="none"/>
              </w:rPr>
            </w:pPr>
            <w:r>
              <w:rPr>
                <w:rFonts w:hint="eastAsia" w:cs="宋体"/>
                <w:sz w:val="21"/>
                <w:szCs w:val="21"/>
                <w:highlight w:val="none"/>
              </w:rPr>
              <w:t>现场踏勘</w:t>
            </w:r>
          </w:p>
        </w:tc>
        <w:tc>
          <w:tcPr>
            <w:tcW w:w="7061" w:type="dxa"/>
            <w:noWrap w:val="0"/>
            <w:vAlign w:val="center"/>
          </w:tcPr>
          <w:p w14:paraId="24915D84">
            <w:pPr>
              <w:spacing w:line="360" w:lineRule="auto"/>
              <w:rPr>
                <w:rFonts w:hint="eastAsia" w:ascii="宋体" w:hAnsi="宋体" w:cs="宋体"/>
                <w:highlight w:val="none"/>
              </w:rPr>
            </w:pPr>
            <w:r>
              <w:rPr>
                <w:rFonts w:hint="eastAsia" w:ascii="宋体" w:hAnsi="宋体" w:cs="宋体"/>
                <w:highlight w:val="none"/>
              </w:rPr>
              <w:t>本次项目不组织单个或部分潜在申请人现场踏勘。</w:t>
            </w:r>
          </w:p>
        </w:tc>
      </w:tr>
      <w:tr w14:paraId="58C143FA">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051"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29E0E996">
            <w:pPr>
              <w:pStyle w:val="29"/>
              <w:spacing w:line="360" w:lineRule="auto"/>
              <w:ind w:right="230"/>
              <w:jc w:val="center"/>
              <w:rPr>
                <w:rFonts w:hint="eastAsia" w:cs="宋体"/>
                <w:sz w:val="21"/>
                <w:szCs w:val="21"/>
                <w:highlight w:val="none"/>
              </w:rPr>
            </w:pPr>
            <w:r>
              <w:rPr>
                <w:rFonts w:hint="eastAsia" w:cs="宋体"/>
                <w:sz w:val="21"/>
                <w:szCs w:val="21"/>
                <w:highlight w:val="none"/>
              </w:rPr>
              <w:t>21</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6D0ED880">
            <w:pPr>
              <w:spacing w:line="360" w:lineRule="auto"/>
              <w:jc w:val="center"/>
              <w:rPr>
                <w:rFonts w:hint="eastAsia" w:ascii="宋体" w:hAnsi="宋体" w:cs="宋体"/>
                <w:highlight w:val="none"/>
              </w:rPr>
            </w:pPr>
            <w:r>
              <w:rPr>
                <w:rFonts w:hint="eastAsia" w:ascii="宋体" w:hAnsi="宋体" w:cs="宋体"/>
                <w:highlight w:val="none"/>
              </w:rPr>
              <w:t>响应文件的递交</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53B495BE">
            <w:pPr>
              <w:spacing w:line="360" w:lineRule="auto"/>
              <w:rPr>
                <w:rFonts w:hint="eastAsia" w:ascii="宋体" w:hAnsi="宋体" w:cs="宋体"/>
                <w:highlight w:val="none"/>
              </w:rPr>
            </w:pPr>
            <w:r>
              <w:rPr>
                <w:rFonts w:hint="eastAsia" w:ascii="宋体" w:hAnsi="宋体" w:cs="宋体"/>
                <w:highlight w:val="none"/>
              </w:rPr>
              <w:t>响应文件</w:t>
            </w:r>
            <w:permStart w:id="52" w:edGrp="everyone"/>
            <w:r>
              <w:rPr>
                <w:rFonts w:hint="eastAsia" w:ascii="宋体" w:hAnsi="宋体" w:cs="宋体"/>
                <w:b/>
                <w:bCs/>
                <w:highlight w:val="none"/>
              </w:rPr>
              <w:t>正本</w:t>
            </w:r>
            <w:r>
              <w:rPr>
                <w:rFonts w:hint="eastAsia" w:ascii="宋体" w:hAnsi="宋体" w:cs="宋体"/>
                <w:b/>
                <w:bCs/>
                <w:highlight w:val="none"/>
                <w:lang w:val="en-US" w:eastAsia="zh-CN"/>
              </w:rPr>
              <w:t>1</w:t>
            </w:r>
            <w:r>
              <w:rPr>
                <w:rFonts w:hint="eastAsia" w:ascii="宋体" w:hAnsi="宋体" w:cs="宋体"/>
                <w:b/>
                <w:bCs/>
                <w:highlight w:val="none"/>
              </w:rPr>
              <w:t>份，副本</w:t>
            </w:r>
            <w:r>
              <w:rPr>
                <w:rFonts w:hint="eastAsia" w:ascii="宋体" w:hAnsi="宋体" w:cs="宋体"/>
                <w:b/>
                <w:bCs/>
                <w:highlight w:val="none"/>
                <w:lang w:val="en-US" w:eastAsia="zh-CN"/>
              </w:rPr>
              <w:t>2</w:t>
            </w:r>
            <w:r>
              <w:rPr>
                <w:rFonts w:hint="eastAsia" w:ascii="宋体" w:hAnsi="宋体" w:cs="宋体"/>
                <w:b/>
                <w:bCs/>
                <w:highlight w:val="none"/>
              </w:rPr>
              <w:t>份</w:t>
            </w:r>
            <w:permEnd w:id="52"/>
            <w:r>
              <w:rPr>
                <w:rFonts w:hint="eastAsia" w:ascii="宋体" w:hAnsi="宋体" w:cs="宋体"/>
                <w:b/>
                <w:bCs/>
                <w:highlight w:val="none"/>
              </w:rPr>
              <w:t>，</w:t>
            </w:r>
            <w:r>
              <w:rPr>
                <w:rFonts w:hint="eastAsia"/>
                <w:b/>
                <w:bCs/>
                <w:kern w:val="2"/>
                <w:szCs w:val="28"/>
                <w:highlight w:val="none"/>
              </w:rPr>
              <w:t>用于磋商报价，</w:t>
            </w:r>
            <w:r>
              <w:rPr>
                <w:rFonts w:hint="eastAsia"/>
                <w:kern w:val="2"/>
                <w:szCs w:val="28"/>
                <w:highlight w:val="none"/>
              </w:rPr>
              <w:t>正副本内容应一致，当副本和正本不一致时，以正本为准，但副本和正本内容不一致造成的后果由供应商自行承担。</w:t>
            </w:r>
          </w:p>
        </w:tc>
      </w:tr>
      <w:tr w14:paraId="4AA7B9EE">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73C889D9">
            <w:pPr>
              <w:pStyle w:val="29"/>
              <w:spacing w:line="360" w:lineRule="auto"/>
              <w:ind w:right="230"/>
              <w:jc w:val="center"/>
              <w:rPr>
                <w:rFonts w:hint="eastAsia" w:cs="宋体"/>
                <w:sz w:val="21"/>
                <w:szCs w:val="21"/>
                <w:highlight w:val="none"/>
              </w:rPr>
            </w:pPr>
            <w:r>
              <w:rPr>
                <w:rFonts w:hint="eastAsia" w:cs="宋体"/>
                <w:sz w:val="21"/>
                <w:szCs w:val="21"/>
                <w:highlight w:val="none"/>
              </w:rPr>
              <w:t>22</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7DD89319">
            <w:pPr>
              <w:pStyle w:val="29"/>
              <w:spacing w:line="360" w:lineRule="auto"/>
              <w:ind w:left="96"/>
              <w:jc w:val="center"/>
              <w:rPr>
                <w:rFonts w:hint="eastAsia" w:cs="宋体"/>
                <w:sz w:val="21"/>
                <w:szCs w:val="21"/>
                <w:highlight w:val="none"/>
              </w:rPr>
            </w:pPr>
            <w:r>
              <w:rPr>
                <w:rFonts w:hint="eastAsia" w:cs="宋体"/>
                <w:sz w:val="21"/>
                <w:szCs w:val="21"/>
                <w:highlight w:val="none"/>
              </w:rPr>
              <w:t>磋商时间和地点</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05880ACA">
            <w:pPr>
              <w:pStyle w:val="28"/>
              <w:spacing w:line="360" w:lineRule="auto"/>
              <w:rPr>
                <w:rFonts w:hint="eastAsia" w:ascii="宋体" w:hAnsi="宋体" w:cs="宋体"/>
                <w:highlight w:val="none"/>
              </w:rPr>
            </w:pPr>
            <w:r>
              <w:rPr>
                <w:rFonts w:hint="eastAsia" w:ascii="宋体" w:hAnsi="宋体" w:cs="宋体"/>
                <w:highlight w:val="none"/>
              </w:rPr>
              <w:t>磋商时间：</w:t>
            </w:r>
            <w:permStart w:id="53" w:edGrp="everyone"/>
            <w:r>
              <w:rPr>
                <w:rFonts w:hint="eastAsia" w:ascii="宋体" w:hAnsi="宋体" w:cs="宋体"/>
                <w:b/>
                <w:bCs/>
                <w:highlight w:val="none"/>
                <w:lang w:val="en-US" w:eastAsia="zh-CN"/>
              </w:rPr>
              <w:t>2025</w:t>
            </w:r>
            <w:r>
              <w:rPr>
                <w:rFonts w:hint="eastAsia" w:ascii="宋体" w:hAnsi="宋体" w:cs="宋体"/>
                <w:b/>
                <w:bCs/>
                <w:highlight w:val="none"/>
              </w:rPr>
              <w:t>年</w:t>
            </w:r>
            <w:r>
              <w:rPr>
                <w:rFonts w:hint="eastAsia" w:ascii="宋体" w:hAnsi="宋体" w:cs="宋体"/>
                <w:b/>
                <w:bCs/>
                <w:highlight w:val="none"/>
                <w:lang w:val="en-US" w:eastAsia="zh-CN"/>
              </w:rPr>
              <w:t>8</w:t>
            </w:r>
            <w:r>
              <w:rPr>
                <w:rFonts w:hint="eastAsia" w:ascii="宋体" w:hAnsi="宋体" w:cs="宋体"/>
                <w:b/>
                <w:bCs/>
                <w:highlight w:val="none"/>
              </w:rPr>
              <w:t>月</w:t>
            </w:r>
            <w:r>
              <w:rPr>
                <w:rFonts w:hint="eastAsia" w:ascii="宋体" w:hAnsi="宋体" w:cs="宋体"/>
                <w:b/>
                <w:bCs/>
                <w:highlight w:val="none"/>
                <w:lang w:val="en-US" w:eastAsia="zh-CN"/>
              </w:rPr>
              <w:t>28</w:t>
            </w:r>
            <w:r>
              <w:rPr>
                <w:rFonts w:hint="eastAsia" w:ascii="宋体" w:hAnsi="宋体" w:cs="宋体"/>
                <w:b/>
                <w:bCs/>
                <w:highlight w:val="none"/>
              </w:rPr>
              <w:t>日</w:t>
            </w:r>
            <w:r>
              <w:rPr>
                <w:rFonts w:hint="eastAsia" w:ascii="宋体" w:hAnsi="宋体" w:cs="宋体"/>
                <w:b/>
                <w:bCs/>
                <w:highlight w:val="none"/>
                <w:lang w:val="en-US" w:eastAsia="zh-CN"/>
              </w:rPr>
              <w:t>9:30</w:t>
            </w:r>
            <w:permEnd w:id="53"/>
            <w:r>
              <w:rPr>
                <w:rFonts w:hint="eastAsia" w:ascii="宋体" w:hAnsi="宋体" w:cs="宋体"/>
                <w:highlight w:val="none"/>
              </w:rPr>
              <w:t>（北京时间）</w:t>
            </w:r>
          </w:p>
          <w:p w14:paraId="14C6B8F8">
            <w:pPr>
              <w:spacing w:line="360" w:lineRule="auto"/>
              <w:ind w:firstLine="210" w:firstLineChars="100"/>
              <w:outlineLvl w:val="1"/>
              <w:rPr>
                <w:rFonts w:hint="eastAsia" w:ascii="宋体" w:hAnsi="宋体" w:cs="宋体"/>
                <w:highlight w:val="none"/>
              </w:rPr>
            </w:pPr>
            <w:bookmarkStart w:id="311" w:name="_Toc3678"/>
            <w:bookmarkStart w:id="312" w:name="_Toc23498"/>
            <w:bookmarkStart w:id="313" w:name="_Toc32582"/>
            <w:bookmarkStart w:id="314" w:name="_Toc7549"/>
            <w:bookmarkStart w:id="315" w:name="_Toc20588"/>
            <w:bookmarkStart w:id="316" w:name="_Toc23344"/>
            <w:r>
              <w:rPr>
                <w:rFonts w:hint="eastAsia" w:ascii="宋体" w:hAnsi="宋体" w:cs="宋体"/>
                <w:highlight w:val="none"/>
              </w:rPr>
              <w:t>磋商地点：</w:t>
            </w:r>
            <w:permStart w:id="54" w:edGrp="everyone"/>
            <w:r>
              <w:rPr>
                <w:rFonts w:hint="eastAsia" w:ascii="宋体" w:hAnsi="宋体" w:cs="宋体"/>
                <w:highlight w:val="none"/>
              </w:rPr>
              <w:t>四川省泸州市江阳区张坝</w:t>
            </w:r>
            <w:r>
              <w:rPr>
                <w:rFonts w:hint="eastAsia" w:ascii="宋体" w:hAnsi="宋体" w:cs="宋体"/>
                <w:highlight w:val="none"/>
                <w:lang w:val="en-US" w:eastAsia="zh-CN"/>
              </w:rPr>
              <w:t>桂圆林</w:t>
            </w:r>
            <w:r>
              <w:rPr>
                <w:rFonts w:hint="eastAsia" w:ascii="宋体" w:hAnsi="宋体" w:cs="宋体"/>
                <w:highlight w:val="none"/>
              </w:rPr>
              <w:t>西门景区内综合楼2楼第二会议室</w:t>
            </w:r>
            <w:permEnd w:id="54"/>
            <w:r>
              <w:rPr>
                <w:rFonts w:hint="eastAsia" w:ascii="宋体" w:hAnsi="宋体" w:cs="宋体"/>
                <w:bCs/>
                <w:highlight w:val="none"/>
              </w:rPr>
              <w:t>。</w:t>
            </w:r>
            <w:bookmarkEnd w:id="311"/>
            <w:bookmarkEnd w:id="312"/>
            <w:bookmarkEnd w:id="313"/>
            <w:bookmarkEnd w:id="314"/>
            <w:bookmarkEnd w:id="315"/>
            <w:bookmarkEnd w:id="316"/>
          </w:p>
        </w:tc>
      </w:tr>
      <w:tr w14:paraId="6B1C574B">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70"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633176DC">
            <w:pPr>
              <w:pStyle w:val="29"/>
              <w:spacing w:line="360" w:lineRule="auto"/>
              <w:ind w:right="230"/>
              <w:jc w:val="center"/>
              <w:rPr>
                <w:rFonts w:hint="eastAsia" w:cs="宋体"/>
                <w:sz w:val="21"/>
                <w:szCs w:val="21"/>
                <w:highlight w:val="none"/>
              </w:rPr>
            </w:pPr>
            <w:r>
              <w:rPr>
                <w:rFonts w:hint="eastAsia" w:cs="宋体"/>
                <w:sz w:val="21"/>
                <w:szCs w:val="21"/>
                <w:highlight w:val="none"/>
              </w:rPr>
              <w:t>23</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5AD9FDE8">
            <w:pPr>
              <w:spacing w:line="360" w:lineRule="auto"/>
              <w:jc w:val="center"/>
              <w:rPr>
                <w:rFonts w:hint="eastAsia" w:ascii="宋体" w:hAnsi="宋体" w:cs="宋体"/>
                <w:highlight w:val="none"/>
              </w:rPr>
            </w:pPr>
            <w:r>
              <w:rPr>
                <w:rFonts w:hint="eastAsia" w:ascii="宋体" w:hAnsi="宋体" w:cs="宋体"/>
                <w:highlight w:val="none"/>
              </w:rPr>
              <w:t>转包及分包</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2B6D1CA1">
            <w:pPr>
              <w:spacing w:line="360" w:lineRule="auto"/>
              <w:rPr>
                <w:rFonts w:hint="eastAsia" w:ascii="宋体" w:hAnsi="宋体" w:cs="宋体"/>
                <w:highlight w:val="none"/>
              </w:rPr>
            </w:pPr>
            <w:r>
              <w:rPr>
                <w:rFonts w:hint="eastAsia" w:ascii="宋体" w:hAnsi="宋体" w:cs="宋体"/>
                <w:highlight w:val="none"/>
              </w:rPr>
              <w:t>不允许转包和分包</w:t>
            </w:r>
          </w:p>
        </w:tc>
      </w:tr>
      <w:tr w14:paraId="0128DA71">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75031306">
            <w:pPr>
              <w:pStyle w:val="29"/>
              <w:spacing w:line="360" w:lineRule="auto"/>
              <w:ind w:right="230"/>
              <w:jc w:val="center"/>
              <w:rPr>
                <w:rFonts w:hint="eastAsia" w:cs="宋体"/>
                <w:sz w:val="21"/>
                <w:szCs w:val="21"/>
                <w:highlight w:val="none"/>
              </w:rPr>
            </w:pPr>
            <w:r>
              <w:rPr>
                <w:rFonts w:hint="eastAsia" w:cs="宋体"/>
                <w:sz w:val="21"/>
                <w:szCs w:val="21"/>
                <w:highlight w:val="none"/>
              </w:rPr>
              <w:t>24</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2C315D19">
            <w:pPr>
              <w:spacing w:line="360" w:lineRule="auto"/>
              <w:jc w:val="center"/>
              <w:rPr>
                <w:rFonts w:hint="eastAsia" w:ascii="宋体" w:hAnsi="宋体" w:cs="宋体"/>
                <w:highlight w:val="none"/>
              </w:rPr>
            </w:pPr>
            <w:r>
              <w:rPr>
                <w:rFonts w:hint="eastAsia" w:ascii="宋体" w:hAnsi="宋体" w:cs="宋体"/>
                <w:highlight w:val="none"/>
              </w:rPr>
              <w:t>签订合同</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08CCEC6E">
            <w:pPr>
              <w:spacing w:line="360" w:lineRule="auto"/>
              <w:jc w:val="left"/>
              <w:rPr>
                <w:rFonts w:hint="eastAsia" w:ascii="宋体" w:hAnsi="宋体" w:cs="宋体"/>
                <w:highlight w:val="none"/>
              </w:rPr>
            </w:pPr>
            <w:permStart w:id="55" w:edGrp="everyone"/>
            <w:r>
              <w:rPr>
                <w:rFonts w:hint="eastAsia" w:ascii="宋体" w:hAnsi="宋体" w:cs="宋体"/>
                <w:highlight w:val="none"/>
              </w:rPr>
              <w:t>收到成交通知书后15天内</w:t>
            </w:r>
            <w:permEnd w:id="55"/>
            <w:r>
              <w:rPr>
                <w:rFonts w:hint="eastAsia" w:ascii="宋体" w:hAnsi="宋体" w:cs="宋体"/>
                <w:highlight w:val="none"/>
              </w:rPr>
              <w:t>。</w:t>
            </w:r>
          </w:p>
        </w:tc>
      </w:tr>
      <w:tr w14:paraId="7D457FC8">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06"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0A8C9CAF">
            <w:pPr>
              <w:pStyle w:val="29"/>
              <w:spacing w:line="360" w:lineRule="auto"/>
              <w:ind w:right="230"/>
              <w:jc w:val="center"/>
              <w:rPr>
                <w:rFonts w:hint="eastAsia" w:cs="宋体"/>
                <w:sz w:val="21"/>
                <w:szCs w:val="21"/>
                <w:highlight w:val="none"/>
              </w:rPr>
            </w:pPr>
            <w:r>
              <w:rPr>
                <w:rFonts w:hint="eastAsia" w:cs="宋体"/>
                <w:sz w:val="21"/>
                <w:szCs w:val="21"/>
                <w:highlight w:val="none"/>
              </w:rPr>
              <w:t>25</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399AE115">
            <w:pPr>
              <w:pStyle w:val="29"/>
              <w:spacing w:line="360" w:lineRule="auto"/>
              <w:ind w:left="38"/>
              <w:jc w:val="center"/>
              <w:rPr>
                <w:rFonts w:hint="eastAsia" w:cs="宋体"/>
                <w:sz w:val="21"/>
                <w:szCs w:val="21"/>
                <w:highlight w:val="none"/>
              </w:rPr>
            </w:pPr>
            <w:r>
              <w:rPr>
                <w:rFonts w:hint="eastAsia" w:cs="宋体"/>
                <w:sz w:val="21"/>
                <w:szCs w:val="21"/>
                <w:highlight w:val="none"/>
                <w:lang w:val="zh-CN"/>
              </w:rPr>
              <w:t>成交通知书领取</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5A386DEE">
            <w:pPr>
              <w:pStyle w:val="29"/>
              <w:spacing w:line="360" w:lineRule="auto"/>
              <w:ind w:firstLine="210" w:firstLineChars="100"/>
              <w:rPr>
                <w:rFonts w:hint="eastAsia" w:cs="宋体"/>
                <w:sz w:val="21"/>
                <w:szCs w:val="21"/>
                <w:highlight w:val="none"/>
              </w:rPr>
            </w:pPr>
            <w:r>
              <w:rPr>
                <w:rFonts w:hint="eastAsia" w:cs="宋体"/>
                <w:sz w:val="21"/>
                <w:szCs w:val="21"/>
                <w:highlight w:val="none"/>
                <w:lang w:val="zh-CN"/>
              </w:rPr>
              <w:t>采购结果公告在</w:t>
            </w:r>
            <w:r>
              <w:rPr>
                <w:rFonts w:hint="eastAsia" w:cs="宋体"/>
                <w:bCs/>
                <w:sz w:val="21"/>
                <w:szCs w:val="21"/>
                <w:highlight w:val="none"/>
              </w:rPr>
              <w:t>全国公共资源交易平台（四川省泸州市）(http://www.lzsggzy.com)和</w:t>
            </w:r>
            <w:r>
              <w:rPr>
                <w:rFonts w:hint="eastAsia" w:cs="宋体"/>
                <w:bCs/>
                <w:highlight w:val="none"/>
              </w:rPr>
              <w:t>泸州</w:t>
            </w:r>
            <w:r>
              <w:rPr>
                <w:rFonts w:hint="eastAsia" w:cs="宋体"/>
                <w:bCs/>
                <w:sz w:val="21"/>
                <w:szCs w:val="21"/>
                <w:highlight w:val="none"/>
              </w:rPr>
              <w:t>盛江投资发展有限公司网站（https://www.lzsjtz.com）</w:t>
            </w:r>
            <w:r>
              <w:rPr>
                <w:rFonts w:hint="eastAsia" w:cs="宋体"/>
                <w:sz w:val="21"/>
                <w:szCs w:val="21"/>
                <w:highlight w:val="none"/>
                <w:lang w:val="zh-CN"/>
              </w:rPr>
              <w:t>上发布后</w:t>
            </w:r>
            <w:r>
              <w:rPr>
                <w:rFonts w:hint="eastAsia" w:cs="宋体"/>
                <w:sz w:val="21"/>
                <w:szCs w:val="21"/>
                <w:highlight w:val="none"/>
              </w:rPr>
              <w:t>，</w:t>
            </w:r>
            <w:r>
              <w:rPr>
                <w:rFonts w:hint="eastAsia" w:cs="宋体"/>
                <w:sz w:val="21"/>
                <w:szCs w:val="21"/>
                <w:highlight w:val="none"/>
                <w:lang w:val="zh-CN"/>
              </w:rPr>
              <w:t>请成交供应商凭有效身份证明证件到</w:t>
            </w:r>
            <w:permStart w:id="56" w:edGrp="everyone"/>
            <w:r>
              <w:rPr>
                <w:rFonts w:hint="eastAsia" w:cs="宋体"/>
                <w:sz w:val="21"/>
                <w:szCs w:val="21"/>
                <w:highlight w:val="none"/>
                <w:u w:val="single"/>
              </w:rPr>
              <w:t>四川省泸州市江阳区张坝</w:t>
            </w:r>
            <w:r>
              <w:rPr>
                <w:rFonts w:hint="eastAsia" w:cs="宋体"/>
                <w:sz w:val="21"/>
                <w:szCs w:val="21"/>
                <w:highlight w:val="none"/>
                <w:u w:val="single"/>
                <w:lang w:val="en-US" w:eastAsia="zh-CN"/>
              </w:rPr>
              <w:t>桂圆林</w:t>
            </w:r>
            <w:r>
              <w:rPr>
                <w:rFonts w:hint="eastAsia" w:cs="宋体"/>
                <w:sz w:val="21"/>
                <w:szCs w:val="21"/>
                <w:highlight w:val="none"/>
                <w:u w:val="single"/>
              </w:rPr>
              <w:t>西门景区内综合楼</w:t>
            </w:r>
            <w:r>
              <w:rPr>
                <w:rFonts w:hint="eastAsia" w:cs="宋体"/>
                <w:sz w:val="21"/>
                <w:szCs w:val="21"/>
                <w:highlight w:val="none"/>
                <w:u w:val="single"/>
                <w:lang w:val="en-US" w:eastAsia="zh-CN"/>
              </w:rPr>
              <w:t>3</w:t>
            </w:r>
            <w:r>
              <w:rPr>
                <w:rFonts w:hint="eastAsia" w:cs="宋体"/>
                <w:sz w:val="21"/>
                <w:szCs w:val="21"/>
                <w:highlight w:val="none"/>
                <w:u w:val="single"/>
              </w:rPr>
              <w:t>楼</w:t>
            </w:r>
            <w:r>
              <w:rPr>
                <w:rFonts w:hint="eastAsia" w:cs="宋体"/>
                <w:sz w:val="21"/>
                <w:szCs w:val="21"/>
                <w:highlight w:val="none"/>
                <w:u w:val="single"/>
                <w:lang w:val="en-US" w:eastAsia="zh-CN"/>
              </w:rPr>
              <w:t>F06</w:t>
            </w:r>
            <w:permEnd w:id="56"/>
            <w:r>
              <w:rPr>
                <w:rFonts w:hint="eastAsia" w:cs="宋体"/>
                <w:sz w:val="21"/>
                <w:szCs w:val="21"/>
                <w:highlight w:val="none"/>
                <w:lang w:val="zh-CN"/>
              </w:rPr>
              <w:t>领取成交通知书。</w:t>
            </w:r>
          </w:p>
          <w:p w14:paraId="22E562A5">
            <w:pPr>
              <w:pStyle w:val="29"/>
              <w:spacing w:line="360" w:lineRule="auto"/>
              <w:ind w:firstLine="210" w:firstLineChars="100"/>
              <w:rPr>
                <w:rFonts w:hint="eastAsia" w:eastAsia="宋体" w:cs="宋体"/>
                <w:sz w:val="21"/>
                <w:szCs w:val="21"/>
                <w:highlight w:val="none"/>
                <w:lang w:eastAsia="zh-CN"/>
              </w:rPr>
            </w:pPr>
            <w:r>
              <w:rPr>
                <w:rFonts w:hint="eastAsia" w:cs="宋体"/>
                <w:sz w:val="21"/>
                <w:szCs w:val="21"/>
                <w:highlight w:val="none"/>
                <w:lang w:val="zh-CN"/>
              </w:rPr>
              <w:t>联系人：</w:t>
            </w:r>
            <w:permStart w:id="57" w:edGrp="everyone"/>
            <w:r>
              <w:rPr>
                <w:rFonts w:hint="eastAsia" w:cs="宋体"/>
                <w:sz w:val="21"/>
                <w:szCs w:val="21"/>
                <w:highlight w:val="none"/>
                <w:lang w:val="en-US" w:eastAsia="zh-CN"/>
              </w:rPr>
              <w:t>颜先生</w:t>
            </w:r>
          </w:p>
          <w:permEnd w:id="57"/>
          <w:p w14:paraId="541FD81F">
            <w:pPr>
              <w:pStyle w:val="29"/>
              <w:spacing w:line="360" w:lineRule="auto"/>
              <w:ind w:firstLine="210" w:firstLineChars="100"/>
              <w:rPr>
                <w:rFonts w:hint="eastAsia" w:ascii="宋体" w:hAnsi="宋体" w:eastAsia="宋体" w:cs="宋体"/>
                <w:sz w:val="21"/>
                <w:szCs w:val="21"/>
                <w:highlight w:val="none"/>
                <w:lang w:val="zh-CN" w:eastAsia="zh-CN"/>
              </w:rPr>
            </w:pPr>
            <w:r>
              <w:rPr>
                <w:rFonts w:hint="eastAsia" w:cs="宋体"/>
                <w:sz w:val="21"/>
                <w:szCs w:val="21"/>
                <w:highlight w:val="none"/>
                <w:lang w:val="zh-CN"/>
              </w:rPr>
              <w:t>联系电话：</w:t>
            </w:r>
            <w:permStart w:id="58" w:edGrp="everyone"/>
            <w:r>
              <w:rPr>
                <w:rFonts w:hint="eastAsia" w:ascii="宋体" w:hAnsi="宋体" w:eastAsia="宋体" w:cs="宋体"/>
                <w:sz w:val="21"/>
                <w:szCs w:val="21"/>
                <w:highlight w:val="none"/>
                <w:lang w:val="zh-CN"/>
              </w:rPr>
              <w:t>0830-</w:t>
            </w:r>
            <w:r>
              <w:rPr>
                <w:rFonts w:hint="eastAsia" w:ascii="宋体" w:hAnsi="宋体" w:eastAsia="宋体" w:cs="宋体"/>
                <w:sz w:val="21"/>
                <w:szCs w:val="21"/>
                <w:highlight w:val="none"/>
                <w:lang w:val="en-US" w:eastAsia="zh-CN"/>
              </w:rPr>
              <w:t>6522206</w:t>
            </w:r>
          </w:p>
          <w:permEnd w:id="58"/>
          <w:p w14:paraId="1EB42BCA">
            <w:pPr>
              <w:spacing w:line="360" w:lineRule="auto"/>
              <w:ind w:firstLine="210" w:firstLineChars="100"/>
              <w:jc w:val="left"/>
              <w:rPr>
                <w:rFonts w:hint="eastAsia" w:ascii="宋体" w:hAnsi="宋体" w:eastAsia="宋体" w:cs="宋体"/>
                <w:highlight w:val="none"/>
                <w:lang w:eastAsia="zh-CN"/>
              </w:rPr>
            </w:pPr>
            <w:r>
              <w:rPr>
                <w:rFonts w:hint="eastAsia" w:ascii="宋体" w:hAnsi="宋体" w:cs="宋体"/>
                <w:highlight w:val="none"/>
                <w:lang w:val="zh-CN"/>
              </w:rPr>
              <w:t>地址：</w:t>
            </w:r>
            <w:permStart w:id="59" w:edGrp="everyone"/>
            <w:r>
              <w:rPr>
                <w:rFonts w:hint="eastAsia" w:cs="宋体"/>
                <w:sz w:val="21"/>
                <w:szCs w:val="21"/>
                <w:highlight w:val="none"/>
                <w:u w:val="single"/>
              </w:rPr>
              <w:t>四川省泸州市江阳区张坝</w:t>
            </w:r>
            <w:r>
              <w:rPr>
                <w:rFonts w:hint="eastAsia" w:cs="宋体"/>
                <w:sz w:val="21"/>
                <w:szCs w:val="21"/>
                <w:highlight w:val="none"/>
                <w:u w:val="single"/>
                <w:lang w:val="en-US" w:eastAsia="zh-CN"/>
              </w:rPr>
              <w:t>桂圆林</w:t>
            </w:r>
            <w:r>
              <w:rPr>
                <w:rFonts w:hint="eastAsia" w:cs="宋体"/>
                <w:sz w:val="21"/>
                <w:szCs w:val="21"/>
                <w:highlight w:val="none"/>
                <w:u w:val="single"/>
              </w:rPr>
              <w:t>西门景区内综合楼</w:t>
            </w:r>
            <w:r>
              <w:rPr>
                <w:rFonts w:hint="eastAsia" w:cs="宋体"/>
                <w:sz w:val="21"/>
                <w:szCs w:val="21"/>
                <w:highlight w:val="none"/>
                <w:u w:val="single"/>
                <w:lang w:val="en-US" w:eastAsia="zh-CN"/>
              </w:rPr>
              <w:t>3</w:t>
            </w:r>
            <w:r>
              <w:rPr>
                <w:rFonts w:hint="eastAsia" w:cs="宋体"/>
                <w:sz w:val="21"/>
                <w:szCs w:val="21"/>
                <w:highlight w:val="none"/>
                <w:u w:val="single"/>
              </w:rPr>
              <w:t>楼</w:t>
            </w:r>
            <w:r>
              <w:rPr>
                <w:rFonts w:hint="eastAsia" w:cs="宋体"/>
                <w:sz w:val="21"/>
                <w:szCs w:val="21"/>
                <w:highlight w:val="none"/>
                <w:u w:val="single"/>
                <w:lang w:val="en-US" w:eastAsia="zh-CN"/>
              </w:rPr>
              <w:t>F06</w:t>
            </w:r>
            <w:permEnd w:id="59"/>
          </w:p>
        </w:tc>
      </w:tr>
      <w:tr w14:paraId="1DC9C9DD">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56326569">
            <w:pPr>
              <w:pStyle w:val="29"/>
              <w:spacing w:line="360" w:lineRule="auto"/>
              <w:ind w:right="230"/>
              <w:jc w:val="center"/>
              <w:rPr>
                <w:rFonts w:hint="eastAsia" w:cs="宋体"/>
                <w:sz w:val="21"/>
                <w:szCs w:val="21"/>
                <w:highlight w:val="none"/>
              </w:rPr>
            </w:pPr>
            <w:r>
              <w:rPr>
                <w:rFonts w:hint="eastAsia" w:cs="宋体"/>
                <w:sz w:val="21"/>
                <w:szCs w:val="21"/>
                <w:highlight w:val="none"/>
              </w:rPr>
              <w:t>26</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16552710">
            <w:pPr>
              <w:pStyle w:val="29"/>
              <w:spacing w:line="360" w:lineRule="auto"/>
              <w:ind w:left="38"/>
              <w:jc w:val="center"/>
              <w:rPr>
                <w:rFonts w:hint="eastAsia"/>
                <w:sz w:val="21"/>
                <w:szCs w:val="21"/>
                <w:highlight w:val="none"/>
              </w:rPr>
            </w:pPr>
            <w:r>
              <w:rPr>
                <w:rFonts w:hint="eastAsia"/>
                <w:sz w:val="21"/>
                <w:szCs w:val="21"/>
                <w:highlight w:val="none"/>
                <w:lang w:val="zh-CN"/>
              </w:rPr>
              <w:t>供应商询问</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59C3E372">
            <w:pPr>
              <w:pStyle w:val="29"/>
              <w:spacing w:line="360" w:lineRule="auto"/>
              <w:ind w:firstLine="210" w:firstLineChars="100"/>
              <w:rPr>
                <w:rFonts w:hint="eastAsia"/>
                <w:sz w:val="21"/>
                <w:szCs w:val="21"/>
                <w:highlight w:val="none"/>
              </w:rPr>
            </w:pPr>
            <w:r>
              <w:rPr>
                <w:rFonts w:hint="eastAsia"/>
                <w:sz w:val="21"/>
                <w:szCs w:val="21"/>
                <w:highlight w:val="none"/>
                <w:lang w:val="zh-CN"/>
              </w:rPr>
              <w:t>供应商询问由采购人负责答复。</w:t>
            </w:r>
          </w:p>
        </w:tc>
      </w:tr>
      <w:tr w14:paraId="1765F9B5">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70"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39DC89B1">
            <w:pPr>
              <w:pStyle w:val="29"/>
              <w:spacing w:line="360" w:lineRule="auto"/>
              <w:ind w:right="230"/>
              <w:jc w:val="center"/>
              <w:rPr>
                <w:rFonts w:cs="宋体"/>
                <w:sz w:val="21"/>
                <w:szCs w:val="21"/>
                <w:highlight w:val="none"/>
              </w:rPr>
            </w:pPr>
            <w:r>
              <w:rPr>
                <w:rFonts w:hint="eastAsia" w:cs="宋体"/>
                <w:sz w:val="21"/>
                <w:szCs w:val="21"/>
                <w:highlight w:val="none"/>
              </w:rPr>
              <w:t>27</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3AB60F5A">
            <w:pPr>
              <w:pStyle w:val="29"/>
              <w:spacing w:line="360" w:lineRule="auto"/>
              <w:ind w:left="96"/>
              <w:jc w:val="center"/>
              <w:rPr>
                <w:rFonts w:hint="eastAsia"/>
                <w:sz w:val="21"/>
                <w:szCs w:val="21"/>
                <w:highlight w:val="none"/>
              </w:rPr>
            </w:pPr>
            <w:r>
              <w:rPr>
                <w:rFonts w:hint="eastAsia"/>
                <w:sz w:val="21"/>
                <w:szCs w:val="21"/>
                <w:highlight w:val="none"/>
                <w:lang w:val="zh-CN"/>
              </w:rPr>
              <w:t>供应商投诉</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1957A33E">
            <w:pPr>
              <w:pStyle w:val="29"/>
              <w:spacing w:line="360" w:lineRule="auto"/>
              <w:ind w:left="634" w:leftChars="102" w:hanging="420" w:hangingChars="200"/>
              <w:rPr>
                <w:rFonts w:hint="eastAsia"/>
                <w:sz w:val="21"/>
                <w:szCs w:val="21"/>
                <w:highlight w:val="none"/>
                <w:lang w:val="zh-CN"/>
              </w:rPr>
            </w:pPr>
            <w:r>
              <w:rPr>
                <w:rFonts w:hint="eastAsia"/>
                <w:sz w:val="21"/>
                <w:szCs w:val="21"/>
                <w:highlight w:val="none"/>
                <w:lang w:val="zh-CN"/>
              </w:rPr>
              <w:t>投诉受理单位：裕阳公司招投标采购</w:t>
            </w:r>
            <w:r>
              <w:rPr>
                <w:rFonts w:hint="eastAsia"/>
                <w:sz w:val="21"/>
                <w:szCs w:val="21"/>
                <w:highlight w:val="none"/>
              </w:rPr>
              <w:t>中心</w:t>
            </w:r>
            <w:r>
              <w:rPr>
                <w:rFonts w:hint="eastAsia"/>
                <w:sz w:val="21"/>
                <w:szCs w:val="21"/>
                <w:highlight w:val="none"/>
                <w:lang w:val="zh-CN"/>
              </w:rPr>
              <w:t>、党群综合办公室。</w:t>
            </w:r>
          </w:p>
          <w:p w14:paraId="6AA27C50">
            <w:pPr>
              <w:pStyle w:val="29"/>
              <w:spacing w:line="360" w:lineRule="auto"/>
              <w:ind w:left="634" w:leftChars="102" w:hanging="420" w:hangingChars="200"/>
              <w:rPr>
                <w:sz w:val="21"/>
                <w:szCs w:val="21"/>
                <w:highlight w:val="none"/>
              </w:rPr>
            </w:pPr>
            <w:r>
              <w:rPr>
                <w:rFonts w:hint="eastAsia"/>
                <w:sz w:val="21"/>
                <w:szCs w:val="21"/>
                <w:highlight w:val="none"/>
                <w:lang w:val="zh-CN"/>
              </w:rPr>
              <w:t>联系人：</w:t>
            </w:r>
            <w:permStart w:id="60" w:edGrp="everyone"/>
            <w:r>
              <w:rPr>
                <w:rFonts w:hint="eastAsia"/>
                <w:sz w:val="21"/>
                <w:szCs w:val="21"/>
                <w:highlight w:val="none"/>
              </w:rPr>
              <w:t>郭先生</w:t>
            </w:r>
          </w:p>
          <w:permEnd w:id="60"/>
          <w:p w14:paraId="3DEDEB91">
            <w:pPr>
              <w:pStyle w:val="29"/>
              <w:spacing w:line="360" w:lineRule="auto"/>
              <w:ind w:left="634" w:leftChars="102" w:hanging="420" w:hangingChars="200"/>
              <w:rPr>
                <w:sz w:val="21"/>
                <w:szCs w:val="21"/>
                <w:highlight w:val="none"/>
              </w:rPr>
            </w:pPr>
            <w:r>
              <w:rPr>
                <w:rFonts w:hint="eastAsia"/>
                <w:sz w:val="21"/>
                <w:szCs w:val="21"/>
                <w:highlight w:val="none"/>
                <w:lang w:val="zh-CN"/>
              </w:rPr>
              <w:t>联系电话：</w:t>
            </w:r>
            <w:permStart w:id="61" w:edGrp="everyone"/>
            <w:r>
              <w:rPr>
                <w:rFonts w:hint="eastAsia" w:cs="宋体"/>
                <w:sz w:val="21"/>
                <w:szCs w:val="21"/>
                <w:highlight w:val="none"/>
              </w:rPr>
              <w:t>0830-6522</w:t>
            </w:r>
            <w:r>
              <w:rPr>
                <w:rFonts w:cs="宋体"/>
                <w:sz w:val="21"/>
                <w:szCs w:val="21"/>
                <w:highlight w:val="none"/>
              </w:rPr>
              <w:t>163</w:t>
            </w:r>
          </w:p>
          <w:permEnd w:id="61"/>
          <w:p w14:paraId="6FA9795F">
            <w:pPr>
              <w:pStyle w:val="29"/>
              <w:spacing w:line="360" w:lineRule="auto"/>
              <w:ind w:left="634" w:leftChars="102" w:hanging="420" w:hangingChars="200"/>
              <w:rPr>
                <w:rFonts w:hint="eastAsia"/>
                <w:sz w:val="21"/>
                <w:szCs w:val="21"/>
                <w:highlight w:val="none"/>
              </w:rPr>
            </w:pPr>
            <w:r>
              <w:rPr>
                <w:rFonts w:hint="eastAsia"/>
                <w:sz w:val="21"/>
                <w:szCs w:val="21"/>
                <w:highlight w:val="none"/>
                <w:lang w:val="zh-CN"/>
              </w:rPr>
              <w:t>注：参照《中华人民共和国政府采购法实施条例》的规定，供应商投诉事项不得超出已质疑事项的范围。</w:t>
            </w:r>
          </w:p>
        </w:tc>
      </w:tr>
      <w:tr w14:paraId="7C0ECEC9">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427"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40509F0F">
            <w:pPr>
              <w:pStyle w:val="29"/>
              <w:spacing w:line="360" w:lineRule="auto"/>
              <w:ind w:right="230"/>
              <w:jc w:val="center"/>
              <w:rPr>
                <w:rFonts w:cs="宋体"/>
                <w:sz w:val="21"/>
                <w:szCs w:val="21"/>
                <w:highlight w:val="none"/>
              </w:rPr>
            </w:pPr>
            <w:r>
              <w:rPr>
                <w:rFonts w:hint="eastAsia" w:cs="宋体"/>
                <w:sz w:val="21"/>
                <w:szCs w:val="21"/>
                <w:highlight w:val="none"/>
              </w:rPr>
              <w:t>28</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5E08040B">
            <w:pPr>
              <w:pStyle w:val="29"/>
              <w:spacing w:line="360" w:lineRule="auto"/>
              <w:ind w:left="96"/>
              <w:jc w:val="center"/>
              <w:rPr>
                <w:sz w:val="18"/>
                <w:szCs w:val="18"/>
                <w:highlight w:val="none"/>
              </w:rPr>
            </w:pPr>
            <w:r>
              <w:rPr>
                <w:rFonts w:hint="eastAsia"/>
                <w:sz w:val="21"/>
                <w:szCs w:val="21"/>
                <w:highlight w:val="none"/>
              </w:rPr>
              <w:t>供应商质疑</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4D5F1EFE">
            <w:pPr>
              <w:pStyle w:val="29"/>
              <w:spacing w:line="360" w:lineRule="auto"/>
              <w:ind w:left="210" w:leftChars="100"/>
              <w:rPr>
                <w:rFonts w:hint="eastAsia"/>
                <w:sz w:val="21"/>
                <w:szCs w:val="21"/>
                <w:highlight w:val="none"/>
              </w:rPr>
            </w:pPr>
            <w:r>
              <w:rPr>
                <w:rFonts w:hint="eastAsia"/>
                <w:sz w:val="21"/>
                <w:szCs w:val="21"/>
                <w:highlight w:val="none"/>
              </w:rPr>
              <w:t>对磋商文件质疑由采购人负责答复；对磋商过程的质疑由采购人负责答复，对磋商结果的质疑由采购人负责答复。</w:t>
            </w:r>
          </w:p>
          <w:p w14:paraId="26754397">
            <w:pPr>
              <w:pStyle w:val="29"/>
              <w:spacing w:line="360" w:lineRule="auto"/>
              <w:ind w:left="636" w:hanging="422"/>
              <w:rPr>
                <w:rFonts w:hint="eastAsia" w:eastAsia="宋体"/>
                <w:sz w:val="21"/>
                <w:szCs w:val="21"/>
                <w:highlight w:val="none"/>
                <w:lang w:eastAsia="zh-CN"/>
              </w:rPr>
            </w:pPr>
            <w:r>
              <w:rPr>
                <w:rFonts w:hint="eastAsia"/>
                <w:sz w:val="21"/>
                <w:szCs w:val="21"/>
                <w:highlight w:val="none"/>
              </w:rPr>
              <w:t>联系人：</w:t>
            </w:r>
            <w:permStart w:id="62" w:edGrp="everyone"/>
            <w:r>
              <w:rPr>
                <w:rFonts w:hint="eastAsia" w:cs="宋体"/>
                <w:sz w:val="21"/>
                <w:szCs w:val="21"/>
                <w:highlight w:val="none"/>
                <w:lang w:val="en-US" w:eastAsia="zh-CN"/>
              </w:rPr>
              <w:t>颜先生</w:t>
            </w:r>
          </w:p>
          <w:permEnd w:id="62"/>
          <w:p w14:paraId="79BB677F">
            <w:pPr>
              <w:pStyle w:val="29"/>
              <w:spacing w:line="360" w:lineRule="auto"/>
              <w:ind w:left="210" w:leftChars="100"/>
              <w:rPr>
                <w:rFonts w:hint="eastAsia" w:ascii="宋体" w:hAnsi="宋体" w:eastAsia="宋体" w:cs="宋体"/>
                <w:sz w:val="21"/>
                <w:szCs w:val="21"/>
                <w:highlight w:val="none"/>
                <w:lang w:eastAsia="zh-CN"/>
              </w:rPr>
            </w:pPr>
            <w:r>
              <w:rPr>
                <w:rFonts w:hint="eastAsia"/>
                <w:sz w:val="21"/>
                <w:szCs w:val="21"/>
                <w:highlight w:val="none"/>
              </w:rPr>
              <w:t>联系电话：</w:t>
            </w:r>
            <w:permStart w:id="63" w:edGrp="everyone"/>
            <w:r>
              <w:rPr>
                <w:rFonts w:hint="eastAsia" w:ascii="宋体" w:hAnsi="宋体" w:eastAsia="宋体" w:cs="宋体"/>
                <w:sz w:val="21"/>
                <w:szCs w:val="21"/>
                <w:highlight w:val="none"/>
              </w:rPr>
              <w:t>0830-</w:t>
            </w:r>
            <w:r>
              <w:rPr>
                <w:rFonts w:hint="eastAsia" w:ascii="宋体" w:hAnsi="宋体" w:eastAsia="宋体" w:cs="宋体"/>
                <w:sz w:val="21"/>
                <w:szCs w:val="21"/>
                <w:highlight w:val="none"/>
                <w:lang w:val="en-US" w:eastAsia="zh-CN"/>
              </w:rPr>
              <w:t>6522206</w:t>
            </w:r>
          </w:p>
          <w:permEnd w:id="63"/>
          <w:p w14:paraId="0C420973">
            <w:pPr>
              <w:pStyle w:val="29"/>
              <w:spacing w:line="360" w:lineRule="auto"/>
              <w:ind w:left="210" w:leftChars="100"/>
              <w:rPr>
                <w:sz w:val="18"/>
                <w:szCs w:val="18"/>
                <w:highlight w:val="none"/>
              </w:rPr>
            </w:pPr>
            <w:r>
              <w:rPr>
                <w:rFonts w:hint="eastAsia"/>
                <w:sz w:val="21"/>
                <w:szCs w:val="21"/>
                <w:highlight w:val="none"/>
              </w:rPr>
              <w:t>注：参照</w:t>
            </w:r>
            <w:r>
              <w:rPr>
                <w:rFonts w:hint="eastAsia"/>
                <w:sz w:val="21"/>
                <w:szCs w:val="21"/>
                <w:highlight w:val="none"/>
                <w:lang w:val="zh-CN"/>
              </w:rPr>
              <w:t>《中华人民共和国政府采购法实施条例》</w:t>
            </w:r>
            <w:r>
              <w:rPr>
                <w:rFonts w:hint="eastAsia"/>
                <w:sz w:val="21"/>
                <w:szCs w:val="21"/>
                <w:highlight w:val="none"/>
              </w:rPr>
              <w:t>的规定，供应商投诉事项不得超出已质疑事项的范围。</w:t>
            </w:r>
          </w:p>
        </w:tc>
      </w:tr>
      <w:tr w14:paraId="55F830D1">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70"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2CAA64C8">
            <w:pPr>
              <w:pStyle w:val="29"/>
              <w:spacing w:line="360" w:lineRule="auto"/>
              <w:ind w:right="230"/>
              <w:jc w:val="center"/>
              <w:rPr>
                <w:rFonts w:cs="宋体"/>
                <w:sz w:val="21"/>
                <w:szCs w:val="21"/>
                <w:highlight w:val="none"/>
              </w:rPr>
            </w:pPr>
            <w:r>
              <w:rPr>
                <w:rFonts w:hint="eastAsia" w:cs="宋体"/>
                <w:sz w:val="21"/>
                <w:szCs w:val="21"/>
                <w:highlight w:val="none"/>
              </w:rPr>
              <w:t>29</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57C934F5">
            <w:pPr>
              <w:pStyle w:val="29"/>
              <w:spacing w:line="360" w:lineRule="auto"/>
              <w:ind w:left="96"/>
              <w:jc w:val="center"/>
              <w:rPr>
                <w:rFonts w:hint="eastAsia" w:cs="宋体"/>
                <w:sz w:val="21"/>
                <w:szCs w:val="21"/>
                <w:highlight w:val="none"/>
                <w:lang w:val="zh-CN"/>
              </w:rPr>
            </w:pPr>
            <w:r>
              <w:rPr>
                <w:rFonts w:hint="eastAsia" w:cs="宋体"/>
                <w:sz w:val="21"/>
                <w:szCs w:val="21"/>
                <w:highlight w:val="none"/>
              </w:rPr>
              <w:t>监督电话</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54D5953E">
            <w:pPr>
              <w:pStyle w:val="29"/>
              <w:spacing w:line="360" w:lineRule="auto"/>
              <w:ind w:firstLine="210" w:firstLineChars="100"/>
              <w:rPr>
                <w:rFonts w:hint="default" w:eastAsia="宋体" w:cs="宋体"/>
                <w:sz w:val="21"/>
                <w:szCs w:val="21"/>
                <w:highlight w:val="none"/>
                <w:lang w:val="en-US" w:eastAsia="zh-CN"/>
              </w:rPr>
            </w:pPr>
            <w:permStart w:id="64" w:edGrp="everyone"/>
            <w:r>
              <w:rPr>
                <w:rFonts w:hint="eastAsia"/>
                <w:sz w:val="21"/>
                <w:szCs w:val="21"/>
                <w:highlight w:val="none"/>
              </w:rPr>
              <w:t>0830-6522</w:t>
            </w:r>
            <w:r>
              <w:rPr>
                <w:rFonts w:hint="eastAsia"/>
                <w:sz w:val="21"/>
                <w:szCs w:val="21"/>
                <w:highlight w:val="none"/>
                <w:lang w:val="en-US" w:eastAsia="zh-CN"/>
              </w:rPr>
              <w:t>163</w:t>
            </w:r>
            <w:permEnd w:id="64"/>
          </w:p>
        </w:tc>
      </w:tr>
      <w:tr w14:paraId="28418254">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70"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01588E91">
            <w:pPr>
              <w:pStyle w:val="29"/>
              <w:spacing w:line="360" w:lineRule="auto"/>
              <w:ind w:right="230"/>
              <w:jc w:val="center"/>
              <w:rPr>
                <w:rFonts w:cs="宋体"/>
                <w:sz w:val="21"/>
                <w:szCs w:val="21"/>
                <w:highlight w:val="none"/>
              </w:rPr>
            </w:pPr>
            <w:r>
              <w:rPr>
                <w:rFonts w:hint="eastAsia" w:cs="宋体"/>
                <w:sz w:val="21"/>
                <w:szCs w:val="21"/>
                <w:highlight w:val="none"/>
              </w:rPr>
              <w:t>30</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3926881E">
            <w:pPr>
              <w:pStyle w:val="29"/>
              <w:spacing w:line="360" w:lineRule="auto"/>
              <w:ind w:left="634" w:leftChars="102" w:hanging="420" w:hangingChars="200"/>
              <w:rPr>
                <w:rFonts w:hint="eastAsia" w:cs="宋体"/>
                <w:sz w:val="21"/>
                <w:szCs w:val="21"/>
                <w:highlight w:val="none"/>
                <w:lang w:val="zh-CN"/>
              </w:rPr>
            </w:pPr>
            <w:r>
              <w:rPr>
                <w:rFonts w:hint="eastAsia" w:cs="宋体"/>
                <w:sz w:val="21"/>
                <w:szCs w:val="21"/>
                <w:highlight w:val="none"/>
                <w:lang w:val="zh-CN"/>
              </w:rPr>
              <w:t>声明承诺提醒</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02886B15">
            <w:pPr>
              <w:pStyle w:val="29"/>
              <w:spacing w:line="360" w:lineRule="auto"/>
              <w:ind w:left="218" w:leftChars="104"/>
              <w:rPr>
                <w:rFonts w:hint="eastAsia" w:cs="宋体"/>
                <w:sz w:val="21"/>
                <w:szCs w:val="21"/>
                <w:highlight w:val="none"/>
                <w:lang w:val="zh-CN"/>
              </w:rPr>
            </w:pPr>
            <w:r>
              <w:rPr>
                <w:rFonts w:hint="eastAsia" w:cs="宋体"/>
                <w:sz w:val="21"/>
                <w:szCs w:val="21"/>
                <w:highlight w:val="none"/>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5E4AB13F">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389DB919">
            <w:pPr>
              <w:pStyle w:val="29"/>
              <w:spacing w:line="360" w:lineRule="auto"/>
              <w:ind w:right="230"/>
              <w:jc w:val="center"/>
              <w:rPr>
                <w:rFonts w:cs="宋体"/>
                <w:sz w:val="21"/>
                <w:szCs w:val="21"/>
                <w:highlight w:val="none"/>
              </w:rPr>
            </w:pPr>
            <w:bookmarkStart w:id="317" w:name="_Toc1647"/>
            <w:bookmarkStart w:id="318" w:name="_Toc26757"/>
            <w:bookmarkStart w:id="319" w:name="_Toc25984"/>
            <w:bookmarkStart w:id="320" w:name="_Toc721"/>
            <w:bookmarkStart w:id="321" w:name="_Toc6195"/>
            <w:bookmarkStart w:id="322" w:name="_Toc9033"/>
            <w:bookmarkStart w:id="323" w:name="_Toc17956"/>
            <w:bookmarkStart w:id="324" w:name="_Toc16764"/>
            <w:bookmarkStart w:id="325" w:name="_Toc6915"/>
            <w:bookmarkStart w:id="326" w:name="_Toc8207"/>
            <w:bookmarkStart w:id="327" w:name="_Toc30821"/>
            <w:bookmarkStart w:id="328" w:name="_Toc20274"/>
            <w:bookmarkStart w:id="329" w:name="_Toc4493"/>
            <w:bookmarkStart w:id="330" w:name="_Toc15688"/>
            <w:bookmarkStart w:id="331" w:name="_Toc19427"/>
            <w:bookmarkStart w:id="332" w:name="_Toc5574"/>
            <w:bookmarkStart w:id="333" w:name="_Toc32035"/>
            <w:bookmarkStart w:id="334" w:name="_Toc13710"/>
            <w:bookmarkStart w:id="335" w:name="_Toc7724"/>
            <w:bookmarkStart w:id="336" w:name="_Toc27722"/>
            <w:bookmarkStart w:id="337" w:name="_Toc16964"/>
            <w:bookmarkStart w:id="338" w:name="_Toc508133960"/>
            <w:bookmarkStart w:id="339" w:name="_Toc25502"/>
            <w:r>
              <w:rPr>
                <w:rFonts w:hint="eastAsia" w:cs="宋体"/>
                <w:sz w:val="21"/>
                <w:szCs w:val="21"/>
                <w:highlight w:val="none"/>
              </w:rPr>
              <w:t>31</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4E030660">
            <w:pPr>
              <w:spacing w:line="360" w:lineRule="auto"/>
              <w:jc w:val="center"/>
              <w:rPr>
                <w:rFonts w:cs="宋体"/>
                <w:highlight w:val="none"/>
              </w:rPr>
            </w:pPr>
            <w:r>
              <w:rPr>
                <w:rFonts w:hint="eastAsia" w:ascii="宋体" w:hAnsi="宋体"/>
                <w:color w:val="000000"/>
                <w:highlight w:val="none"/>
              </w:rPr>
              <w:t>磋商文件内容冲突的解决</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04901C38">
            <w:pPr>
              <w:spacing w:line="360" w:lineRule="auto"/>
              <w:ind w:firstLine="210" w:firstLineChars="100"/>
              <w:rPr>
                <w:rFonts w:ascii="宋体" w:hAnsi="宋体"/>
                <w:color w:val="000000"/>
                <w:highlight w:val="none"/>
              </w:rPr>
            </w:pPr>
            <w:r>
              <w:rPr>
                <w:rFonts w:hint="eastAsia" w:ascii="宋体" w:hAnsi="宋体" w:cs="宋体"/>
                <w:color w:val="000000"/>
                <w:highlight w:val="none"/>
              </w:rPr>
              <w:t>供应商须知前附表和磋商文件中“注”的内容与正文不一致时，以供应商须知前附表和磋商文件中“注”的内容为准。</w:t>
            </w:r>
          </w:p>
          <w:p w14:paraId="73173A65">
            <w:pPr>
              <w:spacing w:line="360" w:lineRule="auto"/>
              <w:rPr>
                <w:rFonts w:hint="eastAsia" w:cs="宋体"/>
                <w:highlight w:val="none"/>
                <w:lang w:val="zh-CN"/>
              </w:rPr>
            </w:pPr>
          </w:p>
        </w:tc>
      </w:tr>
      <w:tr w14:paraId="350A8752">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00" w:type="dxa"/>
            <w:tcBorders>
              <w:top w:val="single" w:color="auto" w:sz="8" w:space="0"/>
              <w:left w:val="single" w:color="auto" w:sz="18" w:space="0"/>
              <w:bottom w:val="single" w:color="auto" w:sz="8" w:space="0"/>
              <w:right w:val="single" w:color="auto" w:sz="8" w:space="0"/>
            </w:tcBorders>
            <w:noWrap w:val="0"/>
            <w:vAlign w:val="center"/>
          </w:tcPr>
          <w:p w14:paraId="118E2D4E">
            <w:pPr>
              <w:pStyle w:val="29"/>
              <w:spacing w:line="360" w:lineRule="auto"/>
              <w:ind w:right="230"/>
              <w:jc w:val="center"/>
              <w:rPr>
                <w:rFonts w:cs="宋体"/>
                <w:sz w:val="21"/>
                <w:szCs w:val="21"/>
                <w:highlight w:val="none"/>
              </w:rPr>
            </w:pPr>
            <w:r>
              <w:rPr>
                <w:rFonts w:hint="eastAsia" w:cs="宋体"/>
                <w:sz w:val="21"/>
                <w:szCs w:val="21"/>
                <w:highlight w:val="none"/>
              </w:rPr>
              <w:t>32</w:t>
            </w:r>
          </w:p>
        </w:tc>
        <w:tc>
          <w:tcPr>
            <w:tcW w:w="1792" w:type="dxa"/>
            <w:tcBorders>
              <w:top w:val="single" w:color="auto" w:sz="8" w:space="0"/>
              <w:left w:val="single" w:color="auto" w:sz="8" w:space="0"/>
              <w:bottom w:val="single" w:color="auto" w:sz="8" w:space="0"/>
              <w:right w:val="single" w:color="auto" w:sz="8" w:space="0"/>
            </w:tcBorders>
            <w:noWrap w:val="0"/>
            <w:vAlign w:val="center"/>
          </w:tcPr>
          <w:p w14:paraId="09E5D5A5">
            <w:pPr>
              <w:spacing w:line="360" w:lineRule="auto"/>
              <w:jc w:val="center"/>
              <w:rPr>
                <w:rFonts w:hint="eastAsia" w:ascii="宋体" w:hAnsi="宋体"/>
                <w:color w:val="000000"/>
                <w:highlight w:val="none"/>
              </w:rPr>
            </w:pPr>
            <w:r>
              <w:rPr>
                <w:rFonts w:hint="eastAsia" w:ascii="宋体" w:hAnsi="宋体"/>
                <w:color w:val="000000"/>
                <w:highlight w:val="none"/>
              </w:rPr>
              <w:t>采购人其他要求</w:t>
            </w:r>
          </w:p>
        </w:tc>
        <w:tc>
          <w:tcPr>
            <w:tcW w:w="7061" w:type="dxa"/>
            <w:tcBorders>
              <w:top w:val="single" w:color="auto" w:sz="8" w:space="0"/>
              <w:left w:val="single" w:color="auto" w:sz="8" w:space="0"/>
              <w:bottom w:val="single" w:color="auto" w:sz="8" w:space="0"/>
              <w:right w:val="single" w:color="auto" w:sz="18" w:space="0"/>
            </w:tcBorders>
            <w:noWrap w:val="0"/>
            <w:vAlign w:val="center"/>
          </w:tcPr>
          <w:p w14:paraId="7CC9B192">
            <w:pPr>
              <w:spacing w:line="360" w:lineRule="auto"/>
              <w:rPr>
                <w:rFonts w:hint="eastAsia" w:cs="宋体"/>
                <w:highlight w:val="none"/>
                <w:lang w:val="en-US" w:eastAsia="zh-CN"/>
              </w:rPr>
            </w:pPr>
            <w:permStart w:id="65" w:edGrp="everyone"/>
            <w:r>
              <w:rPr>
                <w:rFonts w:hint="eastAsia" w:cs="宋体"/>
                <w:highlight w:val="none"/>
                <w:lang w:val="en-US" w:eastAsia="zh-CN"/>
              </w:rPr>
              <w:t>采购人</w:t>
            </w:r>
            <w:r>
              <w:rPr>
                <w:rFonts w:hint="eastAsia" w:cs="宋体"/>
                <w:highlight w:val="none"/>
              </w:rPr>
              <w:t>不组织集中踏勘，投标人如需踏勘可自行</w:t>
            </w:r>
            <w:r>
              <w:rPr>
                <w:rFonts w:hint="eastAsia" w:cs="宋体"/>
                <w:highlight w:val="none"/>
                <w:lang w:val="en-US" w:eastAsia="zh-CN"/>
              </w:rPr>
              <w:t>前往。</w:t>
            </w:r>
          </w:p>
          <w:p w14:paraId="42A08511">
            <w:pPr>
              <w:spacing w:line="360" w:lineRule="auto"/>
              <w:rPr>
                <w:rFonts w:hint="eastAsia" w:eastAsia="宋体" w:cs="宋体"/>
                <w:highlight w:val="none"/>
                <w:lang w:eastAsia="zh-CN"/>
              </w:rPr>
            </w:pPr>
            <w:r>
              <w:rPr>
                <w:rFonts w:hint="eastAsia" w:cs="宋体"/>
                <w:highlight w:val="none"/>
              </w:rPr>
              <w:t>联系</w:t>
            </w:r>
            <w:r>
              <w:rPr>
                <w:rFonts w:hint="eastAsia" w:cs="宋体"/>
                <w:highlight w:val="none"/>
                <w:lang w:val="en-US" w:eastAsia="zh-CN"/>
              </w:rPr>
              <w:t>人：颜先生，</w:t>
            </w:r>
            <w:r>
              <w:rPr>
                <w:rFonts w:hint="eastAsia" w:cs="宋体"/>
                <w:highlight w:val="none"/>
              </w:rPr>
              <w:t>联系电话：</w:t>
            </w:r>
            <w:r>
              <w:rPr>
                <w:rFonts w:hint="eastAsia" w:cs="宋体"/>
                <w:highlight w:val="none"/>
                <w:lang w:val="en-US" w:eastAsia="zh-CN"/>
              </w:rPr>
              <w:t>0830-6522206</w:t>
            </w:r>
            <w:permEnd w:id="65"/>
          </w:p>
        </w:tc>
      </w:tr>
      <w:bookmarkEnd w:id="303"/>
      <w:bookmarkEnd w:id="304"/>
      <w:bookmarkEnd w:id="305"/>
      <w:bookmarkEnd w:id="306"/>
      <w:bookmarkEnd w:id="307"/>
      <w:bookmarkEnd w:id="308"/>
      <w:bookmarkEnd w:id="309"/>
      <w:bookmarkEnd w:id="310"/>
    </w:tbl>
    <w:p w14:paraId="6F1213FE">
      <w:pPr>
        <w:pStyle w:val="6"/>
        <w:keepNext w:val="0"/>
        <w:keepLines w:val="0"/>
        <w:spacing w:line="360" w:lineRule="auto"/>
        <w:jc w:val="center"/>
        <w:rPr>
          <w:rFonts w:ascii="黑体"/>
          <w:highlight w:val="none"/>
        </w:rPr>
      </w:pPr>
      <w:r>
        <w:rPr>
          <w:rFonts w:hint="eastAsia" w:ascii="黑体"/>
          <w:highlight w:val="none"/>
        </w:rPr>
        <w:br w:type="page"/>
      </w:r>
      <w:bookmarkStart w:id="340" w:name="_Toc4747"/>
      <w:r>
        <w:rPr>
          <w:rFonts w:hint="eastAsia" w:ascii="黑体"/>
          <w:highlight w:val="none"/>
        </w:rPr>
        <w:t>二、总则</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40"/>
    </w:p>
    <w:p w14:paraId="07BECBD4">
      <w:pPr>
        <w:spacing w:line="360" w:lineRule="auto"/>
        <w:ind w:hanging="15"/>
        <w:rPr>
          <w:rFonts w:ascii="宋体" w:hAnsi="宋体"/>
          <w:b/>
          <w:bCs/>
          <w:sz w:val="24"/>
          <w:highlight w:val="none"/>
        </w:rPr>
      </w:pPr>
      <w:bookmarkStart w:id="341" w:name="_Toc183682342"/>
      <w:bookmarkStart w:id="342" w:name="_Toc183582205"/>
      <w:bookmarkStart w:id="343" w:name="_Toc217446034"/>
      <w:r>
        <w:rPr>
          <w:rFonts w:hint="eastAsia" w:ascii="宋体" w:hAnsi="宋体"/>
          <w:b/>
          <w:bCs/>
          <w:sz w:val="24"/>
          <w:highlight w:val="none"/>
        </w:rPr>
        <w:t>1</w:t>
      </w:r>
      <w:r>
        <w:rPr>
          <w:rFonts w:ascii="宋体" w:hAnsi="宋体"/>
          <w:b/>
          <w:bCs/>
          <w:sz w:val="24"/>
          <w:highlight w:val="none"/>
        </w:rPr>
        <w:t>.</w:t>
      </w:r>
      <w:bookmarkEnd w:id="341"/>
      <w:bookmarkEnd w:id="342"/>
      <w:r>
        <w:rPr>
          <w:rFonts w:hint="eastAsia" w:ascii="宋体" w:hAnsi="宋体"/>
          <w:b/>
          <w:bCs/>
          <w:sz w:val="24"/>
          <w:highlight w:val="none"/>
        </w:rPr>
        <w:t>适用范围</w:t>
      </w:r>
      <w:bookmarkEnd w:id="343"/>
    </w:p>
    <w:p w14:paraId="2B22D7C0">
      <w:pPr>
        <w:tabs>
          <w:tab w:val="left" w:pos="7665"/>
        </w:tabs>
        <w:spacing w:line="360" w:lineRule="auto"/>
        <w:ind w:hanging="15"/>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1本磋商文件仅适用于本次磋商所叙述的服务采购。</w:t>
      </w:r>
    </w:p>
    <w:p w14:paraId="427E8FCC">
      <w:pPr>
        <w:tabs>
          <w:tab w:val="left" w:pos="7665"/>
        </w:tabs>
        <w:spacing w:line="360" w:lineRule="auto"/>
        <w:ind w:hanging="15"/>
        <w:rPr>
          <w:rFonts w:ascii="宋体" w:hAnsi="宋体"/>
          <w:sz w:val="24"/>
          <w:highlight w:val="none"/>
        </w:rPr>
      </w:pPr>
      <w:r>
        <w:rPr>
          <w:rFonts w:hint="eastAsia" w:ascii="宋体" w:hAnsi="宋体"/>
          <w:sz w:val="24"/>
          <w:highlight w:val="none"/>
        </w:rPr>
        <w:t>1.2本磋商文件的解释权归采购人所有。</w:t>
      </w:r>
    </w:p>
    <w:p w14:paraId="3CD96511">
      <w:pPr>
        <w:spacing w:line="360" w:lineRule="auto"/>
        <w:ind w:hanging="15"/>
        <w:rPr>
          <w:rFonts w:ascii="宋体" w:hAnsi="宋体"/>
          <w:b/>
          <w:bCs/>
          <w:sz w:val="24"/>
          <w:highlight w:val="none"/>
        </w:rPr>
      </w:pPr>
      <w:bookmarkStart w:id="344" w:name="_Toc217446035"/>
      <w:bookmarkStart w:id="345" w:name="_Toc183582206"/>
      <w:bookmarkStart w:id="346" w:name="_Toc183682343"/>
      <w:r>
        <w:rPr>
          <w:rFonts w:ascii="宋体" w:hAnsi="宋体"/>
          <w:b/>
          <w:bCs/>
          <w:sz w:val="24"/>
          <w:highlight w:val="none"/>
        </w:rPr>
        <w:t>2.</w:t>
      </w:r>
      <w:bookmarkEnd w:id="344"/>
      <w:bookmarkEnd w:id="345"/>
      <w:bookmarkEnd w:id="346"/>
      <w:r>
        <w:rPr>
          <w:rFonts w:hint="eastAsia" w:ascii="宋体" w:hAnsi="宋体"/>
          <w:b/>
          <w:bCs/>
          <w:sz w:val="24"/>
          <w:highlight w:val="none"/>
        </w:rPr>
        <w:t>采购主体</w:t>
      </w:r>
    </w:p>
    <w:p w14:paraId="46174FB3">
      <w:pPr>
        <w:pStyle w:val="28"/>
        <w:spacing w:line="360" w:lineRule="auto"/>
        <w:ind w:firstLine="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1本次磋商的采购人详见采购公告。</w:t>
      </w:r>
    </w:p>
    <w:p w14:paraId="4B67DA17">
      <w:pPr>
        <w:spacing w:line="360" w:lineRule="auto"/>
        <w:ind w:hanging="15"/>
        <w:rPr>
          <w:rFonts w:hint="eastAsia" w:ascii="宋体" w:hAnsi="宋体" w:eastAsia="宋体"/>
          <w:b/>
          <w:bCs/>
          <w:sz w:val="24"/>
          <w:highlight w:val="none"/>
          <w:lang w:eastAsia="zh-CN"/>
        </w:rPr>
      </w:pPr>
      <w:bookmarkStart w:id="347" w:name="_Toc183682344"/>
      <w:bookmarkStart w:id="348" w:name="_Toc217390843"/>
      <w:bookmarkStart w:id="349" w:name="_Toc217446036"/>
      <w:bookmarkStart w:id="350" w:name="_Toc183582207"/>
      <w:r>
        <w:rPr>
          <w:rFonts w:ascii="宋体" w:hAnsi="宋体"/>
          <w:b/>
          <w:bCs/>
          <w:sz w:val="24"/>
          <w:highlight w:val="none"/>
        </w:rPr>
        <w:t>3.</w:t>
      </w:r>
      <w:r>
        <w:rPr>
          <w:rFonts w:hint="eastAsia" w:ascii="宋体" w:hAnsi="宋体"/>
          <w:b/>
          <w:bCs/>
          <w:sz w:val="24"/>
          <w:highlight w:val="none"/>
        </w:rPr>
        <w:t>合格</w:t>
      </w:r>
      <w:bookmarkEnd w:id="347"/>
      <w:bookmarkEnd w:id="348"/>
      <w:bookmarkEnd w:id="349"/>
      <w:bookmarkEnd w:id="350"/>
      <w:r>
        <w:rPr>
          <w:rFonts w:hint="eastAsia" w:ascii="宋体" w:hAnsi="宋体"/>
          <w:b/>
          <w:bCs/>
          <w:sz w:val="24"/>
          <w:highlight w:val="none"/>
        </w:rPr>
        <w:t>供应商（实质性要求）</w:t>
      </w:r>
    </w:p>
    <w:p w14:paraId="412905DB">
      <w:pPr>
        <w:tabs>
          <w:tab w:val="left" w:pos="7665"/>
        </w:tabs>
        <w:spacing w:line="360" w:lineRule="auto"/>
        <w:ind w:hanging="15"/>
        <w:rPr>
          <w:rFonts w:ascii="宋体" w:hAnsi="宋体"/>
          <w:sz w:val="24"/>
          <w:highlight w:val="none"/>
        </w:rPr>
      </w:pPr>
      <w:r>
        <w:rPr>
          <w:rFonts w:hint="eastAsia" w:ascii="宋体" w:hAnsi="宋体"/>
          <w:sz w:val="24"/>
          <w:highlight w:val="none"/>
        </w:rPr>
        <w:t>合格供应商应具备以下条件：</w:t>
      </w:r>
    </w:p>
    <w:p w14:paraId="4FF4F7D4">
      <w:pPr>
        <w:tabs>
          <w:tab w:val="left" w:pos="7665"/>
        </w:tabs>
        <w:spacing w:line="360" w:lineRule="auto"/>
        <w:ind w:hanging="15"/>
        <w:rPr>
          <w:rFonts w:ascii="宋体" w:hAnsi="宋体"/>
          <w:spacing w:val="-4"/>
          <w:sz w:val="24"/>
          <w:highlight w:val="none"/>
        </w:rPr>
      </w:pPr>
      <w:r>
        <w:rPr>
          <w:rFonts w:hint="eastAsia" w:ascii="宋体" w:hAnsi="宋体"/>
          <w:sz w:val="24"/>
          <w:highlight w:val="none"/>
        </w:rPr>
        <w:t>3.1具备法律法规和本采购文件规定的资格条件</w:t>
      </w:r>
      <w:r>
        <w:rPr>
          <w:rFonts w:hint="eastAsia" w:ascii="宋体" w:hAnsi="宋体"/>
          <w:spacing w:val="-4"/>
          <w:sz w:val="24"/>
          <w:highlight w:val="none"/>
        </w:rPr>
        <w:t>；</w:t>
      </w:r>
    </w:p>
    <w:p w14:paraId="2AB82598">
      <w:pPr>
        <w:tabs>
          <w:tab w:val="left" w:pos="7665"/>
        </w:tabs>
        <w:spacing w:line="360" w:lineRule="auto"/>
        <w:ind w:hanging="15"/>
        <w:rPr>
          <w:rFonts w:ascii="宋体" w:hAnsi="宋体"/>
          <w:spacing w:val="-4"/>
          <w:sz w:val="24"/>
          <w:highlight w:val="none"/>
        </w:rPr>
      </w:pPr>
      <w:r>
        <w:rPr>
          <w:rFonts w:hint="eastAsia" w:ascii="宋体" w:hAnsi="宋体"/>
          <w:spacing w:val="-4"/>
          <w:sz w:val="24"/>
          <w:highlight w:val="none"/>
        </w:rPr>
        <w:t>3.2不属于禁止参加本项目采购活动的供应商；</w:t>
      </w:r>
    </w:p>
    <w:p w14:paraId="0EE8DD61">
      <w:pPr>
        <w:tabs>
          <w:tab w:val="left" w:pos="7665"/>
        </w:tabs>
        <w:spacing w:line="360" w:lineRule="auto"/>
        <w:ind w:hanging="15"/>
        <w:rPr>
          <w:rFonts w:ascii="宋体" w:hAnsi="宋体"/>
          <w:spacing w:val="-4"/>
          <w:sz w:val="24"/>
          <w:highlight w:val="none"/>
        </w:rPr>
      </w:pPr>
      <w:r>
        <w:rPr>
          <w:rFonts w:hint="eastAsia" w:ascii="宋体" w:hAnsi="宋体"/>
          <w:spacing w:val="-4"/>
          <w:sz w:val="24"/>
          <w:highlight w:val="none"/>
        </w:rPr>
        <w:t>3.3按照规定</w:t>
      </w:r>
      <w:r>
        <w:rPr>
          <w:rFonts w:hint="eastAsia" w:ascii="宋体" w:hAnsi="宋体"/>
          <w:sz w:val="24"/>
          <w:highlight w:val="none"/>
        </w:rPr>
        <w:t>获取了磋商文件，属于实质性参加采购活动的供应商。</w:t>
      </w:r>
    </w:p>
    <w:p w14:paraId="38EDD8D3">
      <w:pPr>
        <w:spacing w:line="360" w:lineRule="auto"/>
        <w:rPr>
          <w:rFonts w:ascii="宋体" w:hAnsi="宋体"/>
          <w:bCs/>
          <w:sz w:val="24"/>
          <w:highlight w:val="none"/>
        </w:rPr>
      </w:pPr>
      <w:bookmarkStart w:id="351" w:name="_Toc32120"/>
      <w:bookmarkStart w:id="352" w:name="_Toc16234"/>
      <w:bookmarkStart w:id="353" w:name="_Toc217446037"/>
      <w:bookmarkStart w:id="354" w:name="_Toc3006"/>
      <w:bookmarkStart w:id="355" w:name="_Toc11096"/>
      <w:bookmarkStart w:id="356" w:name="_Toc28442"/>
      <w:bookmarkStart w:id="357" w:name="_Toc1296"/>
      <w:bookmarkStart w:id="358" w:name="_Toc2555"/>
      <w:bookmarkStart w:id="359" w:name="_Toc23978"/>
      <w:bookmarkStart w:id="360" w:name="_Toc183582208"/>
      <w:bookmarkStart w:id="361" w:name="_Toc17475"/>
      <w:bookmarkStart w:id="362" w:name="_Toc183682345"/>
      <w:r>
        <w:rPr>
          <w:rFonts w:hint="eastAsia" w:ascii="宋体" w:hAnsi="宋体"/>
          <w:bCs/>
          <w:sz w:val="24"/>
          <w:highlight w:val="none"/>
        </w:rPr>
        <w:t>4.磋商费用</w:t>
      </w:r>
      <w:bookmarkEnd w:id="351"/>
      <w:bookmarkEnd w:id="352"/>
      <w:bookmarkEnd w:id="353"/>
      <w:bookmarkEnd w:id="354"/>
      <w:bookmarkEnd w:id="355"/>
      <w:bookmarkEnd w:id="356"/>
      <w:bookmarkEnd w:id="357"/>
      <w:bookmarkEnd w:id="358"/>
      <w:bookmarkEnd w:id="359"/>
      <w:bookmarkEnd w:id="360"/>
      <w:bookmarkEnd w:id="361"/>
      <w:bookmarkEnd w:id="362"/>
    </w:p>
    <w:p w14:paraId="62CE05D7">
      <w:pPr>
        <w:tabs>
          <w:tab w:val="left" w:pos="7665"/>
        </w:tabs>
        <w:spacing w:line="360" w:lineRule="auto"/>
        <w:rPr>
          <w:rFonts w:ascii="宋体" w:hAnsi="宋体"/>
          <w:sz w:val="24"/>
          <w:highlight w:val="none"/>
        </w:rPr>
      </w:pPr>
      <w:r>
        <w:rPr>
          <w:rFonts w:hint="eastAsia" w:ascii="宋体" w:hAnsi="宋体"/>
          <w:sz w:val="24"/>
          <w:highlight w:val="none"/>
        </w:rPr>
        <w:t>供应商应自行承担参加磋商活动的全部费用。</w:t>
      </w:r>
    </w:p>
    <w:p w14:paraId="32E0814B">
      <w:pPr>
        <w:pStyle w:val="30"/>
        <w:spacing w:line="360" w:lineRule="auto"/>
        <w:ind w:hanging="15"/>
        <w:rPr>
          <w:rFonts w:hAnsi="宋体"/>
          <w:b/>
          <w:bCs/>
          <w:sz w:val="24"/>
          <w:highlight w:val="none"/>
        </w:rPr>
      </w:pPr>
      <w:r>
        <w:rPr>
          <w:rFonts w:hint="eastAsia" w:hAnsi="宋体"/>
          <w:b/>
          <w:sz w:val="24"/>
          <w:highlight w:val="none"/>
        </w:rPr>
        <w:t>5.充分、公平竞争保障措施</w:t>
      </w:r>
      <w:r>
        <w:rPr>
          <w:rFonts w:hint="eastAsia" w:ascii="仿宋" w:hAnsi="仿宋" w:eastAsia="仿宋" w:cs="仿宋"/>
          <w:b/>
          <w:bCs/>
          <w:sz w:val="24"/>
          <w:szCs w:val="24"/>
          <w:highlight w:val="none"/>
        </w:rPr>
        <w:t>（实质性要求）</w:t>
      </w:r>
    </w:p>
    <w:p w14:paraId="062AA96C">
      <w:pPr>
        <w:pStyle w:val="30"/>
        <w:spacing w:line="360" w:lineRule="auto"/>
        <w:ind w:hanging="15"/>
        <w:rPr>
          <w:rFonts w:hAnsi="宋体"/>
          <w:sz w:val="28"/>
          <w:szCs w:val="28"/>
          <w:highlight w:val="none"/>
        </w:rPr>
      </w:pPr>
      <w:r>
        <w:rPr>
          <w:rFonts w:hint="eastAsia" w:hAnsi="宋体"/>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9D88848">
      <w:pPr>
        <w:pStyle w:val="30"/>
        <w:spacing w:line="360" w:lineRule="auto"/>
        <w:ind w:hanging="15"/>
        <w:rPr>
          <w:rFonts w:hAnsi="宋体"/>
          <w:sz w:val="24"/>
          <w:highlight w:val="none"/>
        </w:rPr>
      </w:pPr>
      <w:r>
        <w:rPr>
          <w:rFonts w:hint="eastAsia" w:hAnsi="宋体"/>
          <w:sz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6E4377CD">
      <w:pPr>
        <w:pStyle w:val="30"/>
        <w:spacing w:line="360" w:lineRule="auto"/>
        <w:ind w:hanging="15"/>
        <w:rPr>
          <w:rFonts w:hAnsi="宋体"/>
          <w:sz w:val="24"/>
          <w:highlight w:val="none"/>
        </w:rPr>
      </w:pPr>
      <w:r>
        <w:rPr>
          <w:rFonts w:hint="eastAsia" w:hAnsi="宋体"/>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CAE3910">
      <w:pPr>
        <w:pStyle w:val="30"/>
        <w:spacing w:line="360" w:lineRule="auto"/>
        <w:ind w:hanging="15"/>
        <w:rPr>
          <w:rFonts w:hAnsi="宋体"/>
          <w:sz w:val="24"/>
          <w:highlight w:val="none"/>
        </w:rPr>
      </w:pPr>
      <w:r>
        <w:rPr>
          <w:rFonts w:hint="eastAsia" w:hAnsi="宋体"/>
          <w:sz w:val="24"/>
          <w:highlight w:val="none"/>
        </w:rPr>
        <w:t>5.4供应商实际控制人或者中高级管理人员，同时是采购工作人员，不得参与本项目采购活动。</w:t>
      </w:r>
    </w:p>
    <w:p w14:paraId="20216AE7">
      <w:pPr>
        <w:spacing w:line="360" w:lineRule="auto"/>
        <w:ind w:hanging="15"/>
        <w:rPr>
          <w:rFonts w:ascii="宋体" w:hAnsi="宋体"/>
          <w:sz w:val="24"/>
          <w:highlight w:val="none"/>
        </w:rPr>
      </w:pPr>
      <w:r>
        <w:rPr>
          <w:rFonts w:hint="eastAsia" w:ascii="宋体" w:hAnsi="宋体"/>
          <w:sz w:val="24"/>
          <w:highlight w:val="none"/>
        </w:rPr>
        <w:t>5.5同一母公司的两家以上的子公司只能组成联合体参加本项目同一合同项下的采购活动，不得以不同供应商身份同时参加本项目同一合同项下的采购活动。</w:t>
      </w:r>
    </w:p>
    <w:p w14:paraId="6813A9F0">
      <w:pPr>
        <w:spacing w:line="360" w:lineRule="auto"/>
        <w:ind w:hanging="15"/>
        <w:rPr>
          <w:rFonts w:ascii="宋体" w:hAnsi="宋体"/>
          <w:sz w:val="24"/>
          <w:highlight w:val="none"/>
        </w:rPr>
      </w:pPr>
      <w:r>
        <w:rPr>
          <w:rFonts w:hint="eastAsia" w:ascii="宋体" w:hAnsi="宋体"/>
          <w:sz w:val="24"/>
          <w:highlight w:val="none"/>
        </w:rPr>
        <w:t>5.6供应商与采购人存在关联关系，或者是采购人的母公司或子公司，不得参加本项目采购活动。</w:t>
      </w:r>
    </w:p>
    <w:p w14:paraId="0D0426B3">
      <w:pPr>
        <w:pStyle w:val="30"/>
        <w:spacing w:line="360" w:lineRule="auto"/>
        <w:ind w:hanging="15"/>
        <w:rPr>
          <w:rFonts w:hAnsi="宋体"/>
          <w:sz w:val="24"/>
          <w:highlight w:val="none"/>
        </w:rPr>
      </w:pPr>
      <w:r>
        <w:rPr>
          <w:rFonts w:hint="eastAsia" w:hAnsi="宋体"/>
          <w:sz w:val="24"/>
          <w:highlight w:val="none"/>
        </w:rPr>
        <w:t>5.7回避。采购活动中，采购人员及相关人员与供应商有下列利害关系之一的，应当回避：</w:t>
      </w:r>
    </w:p>
    <w:p w14:paraId="21788D41">
      <w:pPr>
        <w:pStyle w:val="30"/>
        <w:spacing w:line="360" w:lineRule="auto"/>
        <w:ind w:hanging="15"/>
        <w:rPr>
          <w:rFonts w:hAnsi="宋体"/>
          <w:sz w:val="24"/>
          <w:highlight w:val="none"/>
        </w:rPr>
      </w:pPr>
      <w:r>
        <w:rPr>
          <w:rFonts w:hint="eastAsia" w:hAnsi="宋体"/>
          <w:sz w:val="24"/>
          <w:highlight w:val="none"/>
        </w:rPr>
        <w:t>（1）参加采购活动前3年内与供应商存在劳动关系；</w:t>
      </w:r>
    </w:p>
    <w:p w14:paraId="01DEECB3">
      <w:pPr>
        <w:pStyle w:val="30"/>
        <w:spacing w:line="360" w:lineRule="auto"/>
        <w:ind w:hanging="15"/>
        <w:rPr>
          <w:rFonts w:hAnsi="宋体"/>
          <w:sz w:val="24"/>
          <w:highlight w:val="none"/>
        </w:rPr>
      </w:pPr>
      <w:r>
        <w:rPr>
          <w:rFonts w:hint="eastAsia" w:hAnsi="宋体"/>
          <w:sz w:val="24"/>
          <w:highlight w:val="none"/>
        </w:rPr>
        <w:t>（2）参加采购活动前3年内担任供应商的董事、监事；</w:t>
      </w:r>
    </w:p>
    <w:p w14:paraId="2440250E">
      <w:pPr>
        <w:pStyle w:val="30"/>
        <w:spacing w:line="360" w:lineRule="auto"/>
        <w:ind w:hanging="15"/>
        <w:rPr>
          <w:rFonts w:hAnsi="宋体"/>
          <w:sz w:val="24"/>
          <w:highlight w:val="none"/>
        </w:rPr>
      </w:pPr>
      <w:r>
        <w:rPr>
          <w:rFonts w:hint="eastAsia" w:hAnsi="宋体"/>
          <w:sz w:val="24"/>
          <w:highlight w:val="none"/>
        </w:rPr>
        <w:t>（3）参加采购活动前3年内是供应商的控股股东或者实际控制人；</w:t>
      </w:r>
    </w:p>
    <w:p w14:paraId="76B3A4D5">
      <w:pPr>
        <w:pStyle w:val="30"/>
        <w:spacing w:line="360" w:lineRule="auto"/>
        <w:ind w:hanging="15"/>
        <w:rPr>
          <w:rFonts w:hAnsi="宋体"/>
          <w:sz w:val="24"/>
          <w:highlight w:val="none"/>
        </w:rPr>
      </w:pPr>
      <w:r>
        <w:rPr>
          <w:rFonts w:hint="eastAsia" w:hAnsi="宋体"/>
          <w:sz w:val="24"/>
          <w:highlight w:val="none"/>
        </w:rPr>
        <w:t>（4）与供应商的法定代表人或者负责人有夫妻、直系血亲、三代以内旁系血亲或者近姻亲关系；</w:t>
      </w:r>
    </w:p>
    <w:p w14:paraId="63477736">
      <w:pPr>
        <w:pStyle w:val="30"/>
        <w:spacing w:line="360" w:lineRule="auto"/>
        <w:ind w:hanging="15"/>
        <w:rPr>
          <w:rFonts w:hAnsi="宋体"/>
          <w:sz w:val="24"/>
          <w:highlight w:val="none"/>
        </w:rPr>
      </w:pPr>
      <w:r>
        <w:rPr>
          <w:rFonts w:hint="eastAsia" w:hAnsi="宋体"/>
          <w:sz w:val="24"/>
          <w:highlight w:val="none"/>
        </w:rPr>
        <w:t>（5）与供应商有其他可能影响采购活动公平、公正进行的关系。</w:t>
      </w:r>
    </w:p>
    <w:p w14:paraId="59AD49C6">
      <w:pPr>
        <w:pStyle w:val="30"/>
        <w:spacing w:line="360" w:lineRule="auto"/>
        <w:ind w:left="19" w:leftChars="9" w:firstLine="400" w:firstLineChars="167"/>
        <w:rPr>
          <w:rFonts w:hAnsi="宋体"/>
          <w:sz w:val="24"/>
          <w:highlight w:val="none"/>
        </w:rPr>
      </w:pPr>
      <w:r>
        <w:rPr>
          <w:rFonts w:hint="eastAsia" w:hAnsi="宋体"/>
          <w:sz w:val="24"/>
          <w:highlight w:val="none"/>
        </w:rPr>
        <w:t>本项目采购活动中需要依法回避的采购人员是指采购人内部负责采购项目的具体经办工作人员和直接分管采购项目的负责人。本项目采购活动中需要依法回避的相关人员是指磋商小组成员。</w:t>
      </w:r>
    </w:p>
    <w:p w14:paraId="4FB17D0F">
      <w:pPr>
        <w:pStyle w:val="30"/>
        <w:spacing w:line="360" w:lineRule="auto"/>
        <w:ind w:left="19" w:leftChars="9" w:firstLine="400" w:firstLineChars="167"/>
        <w:rPr>
          <w:rFonts w:hAnsi="宋体"/>
          <w:b/>
          <w:sz w:val="24"/>
          <w:highlight w:val="none"/>
        </w:rPr>
      </w:pPr>
      <w:r>
        <w:rPr>
          <w:rFonts w:hint="eastAsia" w:hAnsi="宋体"/>
          <w:sz w:val="24"/>
          <w:highlight w:val="none"/>
        </w:rPr>
        <w:t>供应商认为采购人员及相关人员与其他供应商有利害关系的，可以向采购人书面提出回避申请，并说明理由。采购人将及时询问被申请回避人员，有利害关系的被申请回避人员应当回避。</w:t>
      </w:r>
    </w:p>
    <w:p w14:paraId="0EAF7BA1">
      <w:pPr>
        <w:pStyle w:val="30"/>
        <w:spacing w:line="360" w:lineRule="auto"/>
        <w:ind w:hanging="15"/>
        <w:rPr>
          <w:rFonts w:hint="eastAsia" w:hAnsi="宋体" w:eastAsia="宋体"/>
          <w:b/>
          <w:sz w:val="24"/>
          <w:highlight w:val="none"/>
          <w:lang w:eastAsia="zh-CN"/>
        </w:rPr>
      </w:pPr>
      <w:r>
        <w:rPr>
          <w:rFonts w:hint="eastAsia" w:hAnsi="宋体"/>
          <w:b/>
          <w:sz w:val="24"/>
          <w:highlight w:val="none"/>
        </w:rPr>
        <w:t>6.是否接受联合体竞争性磋商（实质性要求）</w:t>
      </w:r>
    </w:p>
    <w:p w14:paraId="4F1322E8">
      <w:pPr>
        <w:pStyle w:val="30"/>
        <w:spacing w:line="360" w:lineRule="auto"/>
        <w:rPr>
          <w:rFonts w:hint="eastAsia" w:hAnsi="宋体"/>
          <w:sz w:val="24"/>
          <w:highlight w:val="none"/>
        </w:rPr>
      </w:pPr>
      <w:r>
        <w:rPr>
          <w:rFonts w:hint="eastAsia" w:hAnsi="宋体"/>
          <w:sz w:val="24"/>
          <w:highlight w:val="none"/>
        </w:rPr>
        <w:t>详见“第二章供应商须知前附表”。</w:t>
      </w:r>
    </w:p>
    <w:p w14:paraId="6DD6AA47">
      <w:pPr>
        <w:pStyle w:val="30"/>
        <w:spacing w:line="360" w:lineRule="auto"/>
        <w:ind w:hanging="15"/>
        <w:rPr>
          <w:rFonts w:hAnsi="宋体"/>
          <w:b/>
          <w:sz w:val="24"/>
          <w:highlight w:val="none"/>
        </w:rPr>
      </w:pPr>
      <w:r>
        <w:rPr>
          <w:rFonts w:hint="eastAsia" w:hAnsi="宋体"/>
          <w:b/>
          <w:sz w:val="24"/>
          <w:highlight w:val="none"/>
        </w:rPr>
        <w:t>7.磋商保证金（实质性要求）</w:t>
      </w:r>
    </w:p>
    <w:p w14:paraId="451BC0DF">
      <w:pPr>
        <w:spacing w:line="360" w:lineRule="auto"/>
        <w:ind w:hanging="15"/>
        <w:rPr>
          <w:rFonts w:ascii="宋体" w:hAnsi="宋体"/>
          <w:sz w:val="24"/>
          <w:highlight w:val="none"/>
        </w:rPr>
      </w:pPr>
      <w:r>
        <w:rPr>
          <w:rFonts w:hint="eastAsia" w:ascii="宋体" w:hAnsi="宋体"/>
          <w:sz w:val="24"/>
          <w:highlight w:val="none"/>
        </w:rPr>
        <w:t>7.1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14:paraId="46048EC1">
      <w:pPr>
        <w:spacing w:line="360" w:lineRule="auto"/>
        <w:ind w:hanging="15"/>
        <w:rPr>
          <w:rFonts w:ascii="宋体" w:hAnsi="宋体"/>
          <w:sz w:val="24"/>
          <w:highlight w:val="none"/>
        </w:rPr>
      </w:pPr>
      <w:r>
        <w:rPr>
          <w:rFonts w:hint="eastAsia" w:ascii="宋体" w:hAnsi="宋体"/>
          <w:sz w:val="24"/>
          <w:highlight w:val="none"/>
        </w:rPr>
        <w:t>7.2未按磋商文件要求在规定时间前交纳规定数额磋商保证金的响应文件无效。</w:t>
      </w:r>
    </w:p>
    <w:p w14:paraId="77ACBEA6">
      <w:pPr>
        <w:spacing w:line="360" w:lineRule="auto"/>
        <w:ind w:hanging="15"/>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3供应商所交纳的磋商保证金不计利息。</w:t>
      </w:r>
    </w:p>
    <w:p w14:paraId="59764BE1">
      <w:pPr>
        <w:spacing w:line="360" w:lineRule="auto"/>
        <w:ind w:hanging="15"/>
        <w:rPr>
          <w:rFonts w:ascii="宋体" w:hAnsi="宋体"/>
          <w:sz w:val="24"/>
          <w:highlight w:val="none"/>
        </w:rPr>
      </w:pPr>
      <w:r>
        <w:rPr>
          <w:rFonts w:hint="eastAsia" w:ascii="宋体" w:hAnsi="宋体"/>
          <w:sz w:val="24"/>
          <w:highlight w:val="none"/>
        </w:rPr>
        <w:t>7.4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人不承担相应责任；②供应商因涉嫌违法违规，按照规定应当不予退还保证金的，有关部门处理认定违法违规行为期间不计入退还保证金期限内）</w:t>
      </w:r>
    </w:p>
    <w:p w14:paraId="4B56400D">
      <w:pPr>
        <w:spacing w:line="360" w:lineRule="auto"/>
        <w:ind w:hanging="15"/>
        <w:rPr>
          <w:rFonts w:ascii="宋体" w:hAnsi="宋体"/>
          <w:sz w:val="24"/>
          <w:highlight w:val="none"/>
        </w:rPr>
      </w:pPr>
      <w:r>
        <w:rPr>
          <w:rFonts w:hint="eastAsia" w:ascii="宋体" w:hAnsi="宋体"/>
          <w:sz w:val="24"/>
          <w:highlight w:val="none"/>
        </w:rPr>
        <w:t>7.5发生下列情形之一的，采购人将不予退还磋商保证金：</w:t>
      </w:r>
    </w:p>
    <w:p w14:paraId="089A417D">
      <w:pPr>
        <w:spacing w:line="360" w:lineRule="auto"/>
        <w:ind w:hanging="15"/>
        <w:rPr>
          <w:rFonts w:ascii="宋体" w:hAnsi="宋体"/>
          <w:sz w:val="24"/>
          <w:highlight w:val="none"/>
        </w:rPr>
      </w:pPr>
      <w:r>
        <w:rPr>
          <w:rFonts w:hint="eastAsia" w:ascii="宋体" w:hAnsi="宋体"/>
          <w:sz w:val="24"/>
          <w:highlight w:val="none"/>
        </w:rPr>
        <w:t>（一）在磋商文件规定的递交响应文件截止时间后撤回响应文件的；</w:t>
      </w:r>
    </w:p>
    <w:p w14:paraId="2F1F78A1">
      <w:pPr>
        <w:spacing w:line="360" w:lineRule="auto"/>
        <w:ind w:hanging="15"/>
        <w:rPr>
          <w:sz w:val="24"/>
          <w:highlight w:val="none"/>
        </w:rPr>
      </w:pPr>
      <w:r>
        <w:rPr>
          <w:rFonts w:hint="eastAsia"/>
          <w:sz w:val="24"/>
          <w:highlight w:val="none"/>
        </w:rPr>
        <w:t>（二）在采购人确定成交供应商之前放弃成交候选资格的；</w:t>
      </w:r>
    </w:p>
    <w:p w14:paraId="2E786EAE">
      <w:pPr>
        <w:spacing w:line="360" w:lineRule="auto"/>
        <w:ind w:hanging="15"/>
        <w:rPr>
          <w:rFonts w:ascii="宋体" w:hAnsi="宋体"/>
          <w:sz w:val="24"/>
          <w:highlight w:val="none"/>
        </w:rPr>
      </w:pPr>
      <w:r>
        <w:rPr>
          <w:rFonts w:hint="eastAsia" w:ascii="宋体" w:hAnsi="宋体"/>
          <w:sz w:val="24"/>
          <w:highlight w:val="none"/>
        </w:rPr>
        <w:t>（三）成交后放弃、不领取或者不接收成交通知书的；</w:t>
      </w:r>
    </w:p>
    <w:p w14:paraId="657FD111">
      <w:pPr>
        <w:spacing w:line="360" w:lineRule="auto"/>
        <w:ind w:hanging="15"/>
        <w:rPr>
          <w:rFonts w:ascii="宋体" w:hAnsi="宋体"/>
          <w:sz w:val="24"/>
          <w:highlight w:val="none"/>
        </w:rPr>
      </w:pPr>
      <w:r>
        <w:rPr>
          <w:rFonts w:hint="eastAsia" w:ascii="宋体" w:hAnsi="宋体"/>
          <w:sz w:val="24"/>
          <w:highlight w:val="none"/>
        </w:rPr>
        <w:t>（四）由于成交供应商的原因未能按照磋商文件的规定与采购人签订合同的；</w:t>
      </w:r>
    </w:p>
    <w:p w14:paraId="39312CCB">
      <w:pPr>
        <w:spacing w:line="360" w:lineRule="auto"/>
        <w:ind w:hanging="15"/>
        <w:rPr>
          <w:rFonts w:ascii="宋体" w:hAnsi="宋体"/>
          <w:sz w:val="24"/>
          <w:highlight w:val="none"/>
        </w:rPr>
      </w:pPr>
      <w:r>
        <w:rPr>
          <w:rFonts w:hint="eastAsia" w:ascii="宋体" w:hAnsi="宋体"/>
          <w:sz w:val="24"/>
          <w:highlight w:val="none"/>
        </w:rPr>
        <w:t>（五）由于成交供应商的原因未能按照磋商文件的规定交纳履约保证金的；</w:t>
      </w:r>
    </w:p>
    <w:p w14:paraId="2E8D56B8">
      <w:pPr>
        <w:spacing w:line="360" w:lineRule="auto"/>
        <w:ind w:hanging="15"/>
        <w:rPr>
          <w:rFonts w:ascii="宋体" w:hAnsi="宋体"/>
          <w:sz w:val="24"/>
          <w:highlight w:val="none"/>
        </w:rPr>
      </w:pPr>
      <w:r>
        <w:rPr>
          <w:rFonts w:hint="eastAsia" w:ascii="宋体" w:hAnsi="宋体"/>
          <w:sz w:val="24"/>
          <w:highlight w:val="none"/>
        </w:rPr>
        <w:t>（六）供应商在采购活动中提供虚假材料的；</w:t>
      </w:r>
    </w:p>
    <w:p w14:paraId="490EE838">
      <w:pPr>
        <w:spacing w:line="360" w:lineRule="auto"/>
        <w:ind w:hanging="15"/>
        <w:rPr>
          <w:rFonts w:ascii="宋体" w:hAnsi="宋体"/>
          <w:sz w:val="24"/>
          <w:highlight w:val="none"/>
        </w:rPr>
      </w:pPr>
      <w:r>
        <w:rPr>
          <w:rFonts w:hint="eastAsia" w:ascii="宋体" w:hAnsi="宋体"/>
          <w:sz w:val="24"/>
          <w:highlight w:val="none"/>
        </w:rPr>
        <w:t>（七）报价有效期内，供应商在采购活动中有违法、违规、违纪行为。</w:t>
      </w:r>
    </w:p>
    <w:p w14:paraId="235BD723">
      <w:pPr>
        <w:spacing w:line="360" w:lineRule="auto"/>
        <w:ind w:hanging="15"/>
        <w:rPr>
          <w:rFonts w:ascii="宋体" w:hAnsi="宋体"/>
          <w:b/>
          <w:sz w:val="24"/>
          <w:highlight w:val="none"/>
        </w:rPr>
      </w:pPr>
      <w:r>
        <w:rPr>
          <w:rFonts w:hint="eastAsia" w:ascii="宋体" w:hAnsi="宋体"/>
          <w:b/>
          <w:sz w:val="24"/>
          <w:highlight w:val="none"/>
        </w:rPr>
        <w:t>8.响应文件有效期（实质性要求）</w:t>
      </w:r>
    </w:p>
    <w:p w14:paraId="6B823ED1">
      <w:pPr>
        <w:spacing w:line="360" w:lineRule="auto"/>
        <w:ind w:firstLine="480" w:firstLineChars="200"/>
        <w:rPr>
          <w:rFonts w:ascii="宋体" w:hAnsi="宋体"/>
          <w:sz w:val="24"/>
          <w:highlight w:val="none"/>
        </w:rPr>
      </w:pPr>
      <w:r>
        <w:rPr>
          <w:rFonts w:hint="eastAsia" w:ascii="宋体" w:hAnsi="宋体"/>
          <w:sz w:val="24"/>
          <w:highlight w:val="none"/>
        </w:rPr>
        <w:t>本项目响应文件有效期为递交磋商响应文件截止之日起</w:t>
      </w:r>
      <w:r>
        <w:rPr>
          <w:rFonts w:hint="eastAsia" w:ascii="宋体" w:hAnsi="宋体"/>
          <w:b/>
          <w:bCs/>
          <w:sz w:val="24"/>
          <w:highlight w:val="none"/>
        </w:rPr>
        <w:t>90</w:t>
      </w:r>
      <w:r>
        <w:rPr>
          <w:rFonts w:hint="eastAsia" w:ascii="宋体" w:hAnsi="宋体"/>
          <w:sz w:val="24"/>
          <w:highlight w:val="none"/>
        </w:rPr>
        <w:t>天。供应商响应文件中必须载明响应文件有效期，响应文件中载明的响应文件有效期可以长于磋商文件规定的期限，但不得短于磋商文件规定的期限。否则，其响应文件将作为无效处理。</w:t>
      </w:r>
    </w:p>
    <w:p w14:paraId="7660ED26">
      <w:pPr>
        <w:pStyle w:val="9"/>
        <w:spacing w:line="360" w:lineRule="auto"/>
        <w:ind w:hanging="15"/>
        <w:rPr>
          <w:rFonts w:ascii="宋体" w:hAnsi="宋体"/>
          <w:b/>
          <w:bCs/>
          <w:sz w:val="24"/>
          <w:szCs w:val="24"/>
          <w:highlight w:val="none"/>
        </w:rPr>
      </w:pPr>
      <w:r>
        <w:rPr>
          <w:rFonts w:hint="eastAsia" w:ascii="宋体" w:hAnsi="宋体"/>
          <w:b/>
          <w:sz w:val="24"/>
          <w:highlight w:val="none"/>
        </w:rPr>
        <w:t>9.</w:t>
      </w:r>
      <w:r>
        <w:rPr>
          <w:rFonts w:hint="eastAsia" w:ascii="宋体" w:hAnsi="宋体"/>
          <w:b/>
          <w:bCs/>
          <w:sz w:val="24"/>
          <w:szCs w:val="24"/>
          <w:highlight w:val="none"/>
        </w:rPr>
        <w:t>知识产权（实质性要求）</w:t>
      </w:r>
    </w:p>
    <w:p w14:paraId="01812390">
      <w:pPr>
        <w:pStyle w:val="9"/>
        <w:spacing w:line="360" w:lineRule="auto"/>
        <w:ind w:hanging="15"/>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.1</w:t>
      </w:r>
      <w:r>
        <w:rPr>
          <w:rFonts w:hint="eastAsia" w:ascii="宋体" w:hAnsi="宋体"/>
          <w:sz w:val="24"/>
          <w:highlight w:val="none"/>
        </w:rPr>
        <w:t>供应商</w:t>
      </w:r>
      <w:r>
        <w:rPr>
          <w:rFonts w:hint="eastAsia" w:ascii="宋体" w:hAnsi="宋体"/>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w:t>
      </w:r>
      <w:r>
        <w:rPr>
          <w:rFonts w:hint="eastAsia" w:ascii="宋体" w:hAnsi="宋体"/>
          <w:sz w:val="24"/>
          <w:szCs w:val="24"/>
          <w:highlight w:val="none"/>
          <w:lang w:eastAsia="zh-CN"/>
        </w:rPr>
        <w:t>起的</w:t>
      </w:r>
      <w:r>
        <w:rPr>
          <w:rFonts w:hint="eastAsia" w:ascii="宋体" w:hAnsi="宋体"/>
          <w:sz w:val="24"/>
          <w:szCs w:val="24"/>
          <w:highlight w:val="none"/>
        </w:rPr>
        <w:t>法律和经济纠纷，由</w:t>
      </w:r>
      <w:r>
        <w:rPr>
          <w:rFonts w:hint="eastAsia" w:ascii="宋体" w:hAnsi="宋体"/>
          <w:sz w:val="24"/>
          <w:highlight w:val="none"/>
        </w:rPr>
        <w:t>供应商</w:t>
      </w:r>
      <w:r>
        <w:rPr>
          <w:rFonts w:hint="eastAsia" w:ascii="宋体" w:hAnsi="宋体"/>
          <w:sz w:val="24"/>
          <w:szCs w:val="24"/>
          <w:highlight w:val="none"/>
        </w:rPr>
        <w:t>承担所有相关责任。</w:t>
      </w:r>
    </w:p>
    <w:p w14:paraId="464AC6B3">
      <w:pPr>
        <w:pStyle w:val="9"/>
        <w:spacing w:line="360" w:lineRule="auto"/>
        <w:ind w:hanging="15"/>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.2</w:t>
      </w:r>
      <w:r>
        <w:rPr>
          <w:rFonts w:hint="eastAsia" w:ascii="宋体" w:hAnsi="宋体"/>
          <w:sz w:val="24"/>
          <w:szCs w:val="24"/>
          <w:highlight w:val="none"/>
        </w:rPr>
        <w:t>除非磋商文件特别规定，采购人享有本项目实施过程中产生的知识成果及知识产权。</w:t>
      </w:r>
    </w:p>
    <w:p w14:paraId="220F3F47">
      <w:pPr>
        <w:spacing w:line="360" w:lineRule="auto"/>
        <w:ind w:hanging="15"/>
        <w:rPr>
          <w:rFonts w:ascii="仿宋_GB2312" w:eastAsia="仿宋_GB2312"/>
          <w:sz w:val="32"/>
          <w:szCs w:val="32"/>
          <w:highlight w:val="none"/>
        </w:rPr>
      </w:pPr>
      <w:r>
        <w:rPr>
          <w:rFonts w:hint="eastAsia" w:ascii="宋体" w:hAnsi="宋体"/>
          <w:sz w:val="24"/>
          <w:highlight w:val="none"/>
        </w:rPr>
        <w:t>9</w:t>
      </w:r>
      <w:r>
        <w:rPr>
          <w:rFonts w:ascii="宋体" w:hAnsi="宋体"/>
          <w:sz w:val="24"/>
          <w:highlight w:val="none"/>
        </w:rPr>
        <w:t>.3</w:t>
      </w:r>
      <w:r>
        <w:rPr>
          <w:rFonts w:hint="eastAsia" w:ascii="宋体" w:hAnsi="宋体"/>
          <w:sz w:val="24"/>
          <w:highlight w:val="none"/>
          <w:lang w:eastAsia="zh-CN"/>
        </w:rPr>
        <w:t>供应商</w:t>
      </w:r>
      <w:r>
        <w:rPr>
          <w:rFonts w:hint="eastAsia" w:ascii="宋体" w:hAnsi="宋体"/>
          <w:sz w:val="24"/>
          <w:highlight w:val="none"/>
        </w:rPr>
        <w:t>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323C3939">
      <w:pPr>
        <w:spacing w:line="360" w:lineRule="auto"/>
        <w:ind w:hanging="15"/>
        <w:rPr>
          <w:rFonts w:ascii="宋体" w:hAnsi="宋体"/>
          <w:sz w:val="24"/>
          <w:highlight w:val="none"/>
        </w:rPr>
      </w:pPr>
      <w:r>
        <w:rPr>
          <w:rFonts w:hint="eastAsia" w:ascii="宋体" w:hAnsi="宋体"/>
          <w:sz w:val="24"/>
          <w:highlight w:val="none"/>
        </w:rPr>
        <w:t>9</w:t>
      </w:r>
      <w:r>
        <w:rPr>
          <w:rFonts w:ascii="宋体" w:hAnsi="宋体"/>
          <w:sz w:val="24"/>
          <w:highlight w:val="none"/>
        </w:rPr>
        <w:t>.4</w:t>
      </w:r>
      <w:r>
        <w:rPr>
          <w:rFonts w:hint="eastAsia" w:ascii="宋体" w:hAnsi="宋体"/>
          <w:sz w:val="24"/>
          <w:highlight w:val="none"/>
        </w:rPr>
        <w:t>如采用供应商所不拥有的知识产权，则在报价中必须包括合法获取该知识产权的相关费用。</w:t>
      </w:r>
    </w:p>
    <w:p w14:paraId="05EB8B31">
      <w:pPr>
        <w:pStyle w:val="6"/>
        <w:keepNext w:val="0"/>
        <w:keepLines w:val="0"/>
        <w:spacing w:line="360" w:lineRule="auto"/>
        <w:ind w:hanging="15"/>
        <w:jc w:val="center"/>
        <w:rPr>
          <w:highlight w:val="none"/>
        </w:rPr>
      </w:pPr>
      <w:bookmarkStart w:id="363" w:name="_Toc183582209"/>
      <w:bookmarkStart w:id="364" w:name="_Toc89075875"/>
      <w:bookmarkStart w:id="365" w:name="_Toc77400779"/>
      <w:bookmarkStart w:id="366" w:name="_Toc1615"/>
      <w:bookmarkStart w:id="367" w:name="_Toc183682346"/>
      <w:bookmarkStart w:id="368" w:name="_Toc10557"/>
      <w:bookmarkStart w:id="369" w:name="_Toc28392"/>
      <w:bookmarkStart w:id="370" w:name="_Toc15418"/>
      <w:bookmarkStart w:id="371" w:name="_Toc12022"/>
      <w:bookmarkStart w:id="372" w:name="_Toc13074"/>
      <w:bookmarkStart w:id="373" w:name="_Toc14872"/>
      <w:bookmarkStart w:id="374" w:name="_Toc3010"/>
      <w:bookmarkStart w:id="375" w:name="_Toc23084"/>
      <w:bookmarkStart w:id="376" w:name="_Toc12119"/>
      <w:bookmarkStart w:id="377" w:name="_Toc31382"/>
      <w:bookmarkStart w:id="378" w:name="_Toc22389"/>
      <w:bookmarkStart w:id="379" w:name="_Toc22044"/>
      <w:bookmarkStart w:id="380" w:name="_Toc28888"/>
      <w:bookmarkStart w:id="381" w:name="_Toc30424"/>
      <w:bookmarkStart w:id="382" w:name="_Toc31809"/>
      <w:bookmarkStart w:id="383" w:name="_Toc217446038"/>
      <w:bookmarkStart w:id="384" w:name="_Toc23255"/>
      <w:bookmarkStart w:id="385" w:name="_Toc8877"/>
      <w:bookmarkStart w:id="386" w:name="_Toc30485"/>
      <w:bookmarkStart w:id="387" w:name="_Toc29416"/>
      <w:bookmarkStart w:id="388" w:name="_Toc23456"/>
      <w:bookmarkStart w:id="389" w:name="_Toc3598"/>
      <w:r>
        <w:rPr>
          <w:rFonts w:hint="eastAsia"/>
          <w:highlight w:val="none"/>
        </w:rPr>
        <w:t>三、磋商文件</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0564B572">
      <w:pPr>
        <w:spacing w:line="360" w:lineRule="auto"/>
        <w:ind w:hanging="15"/>
        <w:rPr>
          <w:rFonts w:ascii="宋体" w:hAnsi="宋体"/>
          <w:sz w:val="24"/>
          <w:highlight w:val="none"/>
        </w:rPr>
      </w:pPr>
      <w:bookmarkStart w:id="390" w:name="_Toc217446039"/>
      <w:bookmarkStart w:id="391" w:name="_Toc183682347"/>
      <w:bookmarkStart w:id="392" w:name="_Toc183582210"/>
      <w:r>
        <w:rPr>
          <w:rFonts w:hint="eastAsia" w:ascii="宋体" w:hAnsi="宋体"/>
          <w:sz w:val="24"/>
          <w:highlight w:val="none"/>
        </w:rPr>
        <w:t>10．磋商文件的构成</w:t>
      </w:r>
      <w:bookmarkEnd w:id="390"/>
      <w:bookmarkEnd w:id="391"/>
      <w:bookmarkEnd w:id="392"/>
      <w:r>
        <w:rPr>
          <w:rFonts w:hint="eastAsia" w:ascii="宋体" w:hAnsi="宋体"/>
          <w:sz w:val="24"/>
          <w:highlight w:val="none"/>
        </w:rPr>
        <w:t>（实质性要求）</w:t>
      </w:r>
    </w:p>
    <w:p w14:paraId="54EBE778">
      <w:pPr>
        <w:tabs>
          <w:tab w:val="left" w:pos="720"/>
        </w:tabs>
        <w:spacing w:line="360" w:lineRule="auto"/>
        <w:ind w:hanging="15"/>
        <w:rPr>
          <w:rFonts w:ascii="宋体" w:hAnsi="宋体"/>
          <w:sz w:val="24"/>
          <w:highlight w:val="none"/>
        </w:rPr>
      </w:pPr>
      <w:r>
        <w:rPr>
          <w:rFonts w:hint="eastAsia" w:ascii="宋体" w:hAnsi="宋体"/>
          <w:sz w:val="24"/>
          <w:highlight w:val="none"/>
        </w:rPr>
        <w:t>10</w:t>
      </w:r>
      <w:r>
        <w:rPr>
          <w:rFonts w:ascii="宋体" w:hAnsi="宋体"/>
          <w:b/>
          <w:bCs/>
          <w:sz w:val="24"/>
          <w:highlight w:val="none"/>
        </w:rPr>
        <w:t>.</w:t>
      </w:r>
      <w:r>
        <w:rPr>
          <w:rFonts w:hint="eastAsia" w:ascii="宋体" w:hAnsi="宋体"/>
          <w:sz w:val="24"/>
          <w:highlight w:val="none"/>
        </w:rPr>
        <w:t>1磋商文件是供应商准备响应文件和参加磋商的依据，同时也是磋商的重要依据。磋商文件用以阐明磋商项目所需的资质、技术、服务及报价等要求、磋商程序、有关规定和注意事项以及合同主要条款等。</w:t>
      </w:r>
    </w:p>
    <w:p w14:paraId="6C02133A">
      <w:pPr>
        <w:tabs>
          <w:tab w:val="left" w:pos="7665"/>
        </w:tabs>
        <w:spacing w:line="360" w:lineRule="auto"/>
        <w:ind w:hanging="15"/>
        <w:rPr>
          <w:rFonts w:ascii="宋体" w:hAnsi="宋体"/>
          <w:sz w:val="24"/>
          <w:highlight w:val="none"/>
        </w:rPr>
      </w:pPr>
      <w:r>
        <w:rPr>
          <w:rFonts w:hint="eastAsia" w:ascii="宋体" w:hAnsi="宋体"/>
          <w:sz w:val="24"/>
          <w:highlight w:val="none"/>
        </w:rPr>
        <w:t>10</w:t>
      </w:r>
      <w:r>
        <w:rPr>
          <w:rFonts w:hint="eastAsia" w:ascii="宋体" w:hAnsi="宋体"/>
          <w:b/>
          <w:bCs/>
          <w:sz w:val="24"/>
          <w:highlight w:val="none"/>
        </w:rPr>
        <w:t>.</w:t>
      </w:r>
      <w:r>
        <w:rPr>
          <w:rFonts w:hint="eastAsia" w:ascii="宋体" w:hAnsi="宋体"/>
          <w:sz w:val="24"/>
          <w:highlight w:val="none"/>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3DDD0D37">
      <w:pPr>
        <w:spacing w:line="360" w:lineRule="auto"/>
        <w:ind w:hanging="15"/>
        <w:rPr>
          <w:rFonts w:ascii="宋体" w:hAnsi="宋体"/>
          <w:sz w:val="24"/>
          <w:highlight w:val="none"/>
        </w:rPr>
      </w:pPr>
      <w:bookmarkStart w:id="393" w:name="_Toc183582211"/>
      <w:bookmarkStart w:id="394" w:name="_Toc183682348"/>
      <w:bookmarkStart w:id="395" w:name="_Toc217446040"/>
      <w:r>
        <w:rPr>
          <w:rFonts w:hint="eastAsia" w:ascii="宋体" w:hAnsi="宋体"/>
          <w:sz w:val="24"/>
          <w:highlight w:val="none"/>
        </w:rPr>
        <w:t>11.磋商文件的澄清</w:t>
      </w:r>
      <w:bookmarkEnd w:id="393"/>
      <w:bookmarkEnd w:id="394"/>
      <w:r>
        <w:rPr>
          <w:rFonts w:hint="eastAsia" w:ascii="宋体" w:hAnsi="宋体"/>
          <w:sz w:val="24"/>
          <w:highlight w:val="none"/>
        </w:rPr>
        <w:t>和修改</w:t>
      </w:r>
      <w:bookmarkEnd w:id="395"/>
    </w:p>
    <w:p w14:paraId="45A36FA5">
      <w:pPr>
        <w:tabs>
          <w:tab w:val="left" w:pos="720"/>
        </w:tabs>
        <w:spacing w:line="360" w:lineRule="auto"/>
        <w:ind w:hanging="15"/>
        <w:rPr>
          <w:rFonts w:ascii="宋体" w:hAnsi="宋体"/>
          <w:sz w:val="24"/>
          <w:highlight w:val="none"/>
        </w:rPr>
      </w:pPr>
      <w:r>
        <w:rPr>
          <w:rFonts w:hint="eastAsia" w:ascii="宋体" w:hAnsi="宋体"/>
          <w:sz w:val="24"/>
          <w:highlight w:val="none"/>
        </w:rPr>
        <w:t>11.1在递交响应文件截止时间前，采购人可以对磋商文件进行澄清或者修改。</w:t>
      </w:r>
    </w:p>
    <w:p w14:paraId="54250FAE">
      <w:pPr>
        <w:tabs>
          <w:tab w:val="left" w:pos="720"/>
        </w:tabs>
        <w:spacing w:line="360" w:lineRule="auto"/>
        <w:rPr>
          <w:rFonts w:hint="eastAsia" w:ascii="宋体" w:hAnsi="宋体"/>
          <w:sz w:val="24"/>
          <w:highlight w:val="none"/>
        </w:rPr>
      </w:pPr>
      <w:r>
        <w:rPr>
          <w:rFonts w:hint="eastAsia" w:ascii="宋体" w:hAnsi="宋体"/>
          <w:sz w:val="24"/>
          <w:highlight w:val="none"/>
        </w:rPr>
        <w:t>11.2采购人对已发出的磋商文件进行澄清或者修改，应当以书面形式将澄清或者修改的内容通知所有领取了磋商文件的供应商。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189F6AC6">
      <w:pPr>
        <w:tabs>
          <w:tab w:val="left" w:pos="720"/>
        </w:tabs>
        <w:spacing w:line="360" w:lineRule="auto"/>
        <w:ind w:hanging="15"/>
        <w:rPr>
          <w:rFonts w:ascii="宋体" w:hAnsi="宋体"/>
          <w:sz w:val="24"/>
          <w:highlight w:val="none"/>
        </w:rPr>
      </w:pPr>
      <w:r>
        <w:rPr>
          <w:rFonts w:hint="eastAsia" w:ascii="宋体" w:hAnsi="宋体"/>
          <w:sz w:val="24"/>
          <w:highlight w:val="none"/>
        </w:rPr>
        <w:t>11.3供应商认为采购人需要对磋商文件进行澄清或者修改的，可以在递交响应文件</w:t>
      </w:r>
      <w:r>
        <w:rPr>
          <w:rFonts w:hint="eastAsia" w:ascii="宋体" w:hAnsi="宋体"/>
          <w:sz w:val="24"/>
          <w:highlight w:val="none"/>
          <w:lang w:eastAsia="zh-CN"/>
        </w:rPr>
        <w:t>截止</w:t>
      </w:r>
      <w:r>
        <w:rPr>
          <w:rFonts w:hint="eastAsia" w:ascii="宋体" w:hAnsi="宋体"/>
          <w:sz w:val="24"/>
          <w:highlight w:val="none"/>
        </w:rPr>
        <w:t>之日前以书面形式向采购人提出申请，由采购人决定是否采纳供应商的申请事项。</w:t>
      </w:r>
    </w:p>
    <w:p w14:paraId="09AEC026">
      <w:pPr>
        <w:spacing w:line="360" w:lineRule="auto"/>
        <w:ind w:hanging="15"/>
        <w:rPr>
          <w:rFonts w:ascii="宋体" w:hAnsi="宋体"/>
          <w:b/>
          <w:bCs/>
          <w:sz w:val="24"/>
          <w:highlight w:val="none"/>
        </w:rPr>
      </w:pPr>
      <w:bookmarkStart w:id="396" w:name="_Toc217446041"/>
      <w:bookmarkStart w:id="397" w:name="_Toc208848971"/>
      <w:r>
        <w:rPr>
          <w:rFonts w:hint="eastAsia" w:ascii="宋体" w:hAnsi="宋体"/>
          <w:b/>
          <w:bCs/>
          <w:sz w:val="24"/>
          <w:highlight w:val="none"/>
        </w:rPr>
        <w:t>12.答疑会和现场考察</w:t>
      </w:r>
      <w:bookmarkEnd w:id="396"/>
      <w:bookmarkEnd w:id="397"/>
    </w:p>
    <w:p w14:paraId="0C619C0D">
      <w:pPr>
        <w:adjustRightInd w:val="0"/>
        <w:snapToGrid w:val="0"/>
        <w:spacing w:line="360" w:lineRule="auto"/>
        <w:ind w:firstLine="420" w:firstLineChars="175"/>
        <w:rPr>
          <w:rFonts w:ascii="宋体" w:hAnsi="宋体" w:cs="宋体"/>
          <w:sz w:val="24"/>
          <w:highlight w:val="none"/>
        </w:rPr>
      </w:pPr>
      <w:bookmarkStart w:id="398" w:name="_Toc183582214"/>
      <w:bookmarkStart w:id="399" w:name="_Toc183682351"/>
      <w:bookmarkStart w:id="400" w:name="_Toc16978"/>
      <w:bookmarkStart w:id="401" w:name="_Toc6291"/>
      <w:bookmarkStart w:id="402" w:name="_Toc23061"/>
      <w:bookmarkStart w:id="403" w:name="_Toc89075876"/>
      <w:bookmarkStart w:id="404" w:name="_Toc217446042"/>
      <w:bookmarkStart w:id="405" w:name="_Toc77400780"/>
      <w:r>
        <w:rPr>
          <w:rFonts w:hint="eastAsia" w:ascii="宋体" w:hAnsi="宋体" w:cs="宋体"/>
          <w:sz w:val="24"/>
          <w:highlight w:val="none"/>
        </w:rPr>
        <w:t>本项目不组织答疑会和现场考察。</w:t>
      </w:r>
    </w:p>
    <w:p w14:paraId="31AA9FB9">
      <w:pPr>
        <w:pStyle w:val="6"/>
        <w:keepNext w:val="0"/>
        <w:keepLines w:val="0"/>
        <w:spacing w:line="360" w:lineRule="auto"/>
        <w:ind w:hanging="15"/>
        <w:jc w:val="center"/>
        <w:rPr>
          <w:highlight w:val="none"/>
        </w:rPr>
      </w:pPr>
      <w:bookmarkStart w:id="406" w:name="_Toc3499"/>
      <w:bookmarkStart w:id="407" w:name="_Toc6614"/>
      <w:bookmarkStart w:id="408" w:name="_Toc2008"/>
      <w:bookmarkStart w:id="409" w:name="_Toc18336"/>
      <w:bookmarkStart w:id="410" w:name="_Toc87"/>
      <w:bookmarkStart w:id="411" w:name="_Toc27200"/>
      <w:bookmarkStart w:id="412" w:name="_Toc4160"/>
      <w:bookmarkStart w:id="413" w:name="_Toc2751"/>
      <w:bookmarkStart w:id="414" w:name="_Toc27330"/>
      <w:bookmarkStart w:id="415" w:name="_Toc5617"/>
      <w:bookmarkStart w:id="416" w:name="_Toc20269"/>
      <w:bookmarkStart w:id="417" w:name="_Toc27201"/>
      <w:bookmarkStart w:id="418" w:name="_Toc6615"/>
      <w:bookmarkStart w:id="419" w:name="_Toc4863"/>
      <w:bookmarkStart w:id="420" w:name="_Toc21198"/>
      <w:bookmarkStart w:id="421" w:name="_Toc27943"/>
      <w:bookmarkStart w:id="422" w:name="_Toc12887"/>
      <w:bookmarkStart w:id="423" w:name="_Toc18044"/>
      <w:bookmarkStart w:id="424" w:name="_Toc6178"/>
      <w:r>
        <w:rPr>
          <w:rFonts w:hint="eastAsia"/>
          <w:highlight w:val="none"/>
        </w:rPr>
        <w:t>四、响应文件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A7924D3">
      <w:pPr>
        <w:spacing w:line="360" w:lineRule="auto"/>
        <w:ind w:hanging="15"/>
        <w:rPr>
          <w:rFonts w:ascii="宋体" w:hAnsi="宋体"/>
          <w:b/>
          <w:bCs/>
          <w:sz w:val="24"/>
          <w:highlight w:val="none"/>
        </w:rPr>
      </w:pPr>
      <w:r>
        <w:rPr>
          <w:rFonts w:hint="eastAsia" w:ascii="宋体" w:hAnsi="宋体"/>
          <w:b/>
          <w:bCs/>
          <w:sz w:val="24"/>
          <w:highlight w:val="none"/>
        </w:rPr>
        <w:t>13.响应文件的组成（实质性要求）</w:t>
      </w:r>
    </w:p>
    <w:p w14:paraId="4E6E0577">
      <w:pPr>
        <w:spacing w:line="360" w:lineRule="auto"/>
        <w:ind w:left="239" w:leftChars="114" w:firstLine="220" w:firstLineChars="92"/>
        <w:rPr>
          <w:rFonts w:ascii="宋体" w:hAnsi="宋体"/>
          <w:sz w:val="24"/>
          <w:highlight w:val="none"/>
        </w:rPr>
      </w:pPr>
      <w:r>
        <w:rPr>
          <w:rFonts w:hint="eastAsia" w:ascii="宋体" w:hAnsi="宋体"/>
          <w:sz w:val="24"/>
          <w:highlight w:val="none"/>
        </w:rPr>
        <w:t>供应商应按照磋商文件的规定和要求编制响应文件。供应商在成交后将成交项目的非主体、非关键性工作分包他人完成的，应当在响应文件中载明或磋商过程中澄清。</w:t>
      </w:r>
    </w:p>
    <w:p w14:paraId="7DFC8591">
      <w:pPr>
        <w:spacing w:line="360" w:lineRule="auto"/>
        <w:ind w:hanging="15"/>
        <w:rPr>
          <w:rFonts w:ascii="宋体" w:hAnsi="宋体"/>
          <w:b/>
          <w:bCs/>
          <w:sz w:val="24"/>
          <w:highlight w:val="none"/>
        </w:rPr>
      </w:pPr>
      <w:r>
        <w:rPr>
          <w:rFonts w:hint="eastAsia" w:ascii="宋体" w:hAnsi="宋体"/>
          <w:b/>
          <w:bCs/>
          <w:sz w:val="24"/>
          <w:highlight w:val="none"/>
        </w:rPr>
        <w:t>14.响应文件的语言（实质性要求）</w:t>
      </w:r>
    </w:p>
    <w:p w14:paraId="7F3D3D15">
      <w:pPr>
        <w:spacing w:line="360" w:lineRule="auto"/>
        <w:ind w:hanging="15"/>
        <w:rPr>
          <w:rFonts w:ascii="宋体" w:hAnsi="宋体"/>
          <w:sz w:val="24"/>
          <w:highlight w:val="none"/>
        </w:rPr>
      </w:pPr>
      <w:r>
        <w:rPr>
          <w:rFonts w:hint="eastAsia" w:ascii="宋体" w:hAnsi="宋体"/>
          <w:sz w:val="24"/>
          <w:highlight w:val="none"/>
        </w:rPr>
        <w:t>14.1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999EC5A">
      <w:pPr>
        <w:spacing w:line="360" w:lineRule="auto"/>
        <w:ind w:hanging="15"/>
        <w:rPr>
          <w:rFonts w:ascii="宋体" w:hAnsi="宋体"/>
          <w:sz w:val="24"/>
          <w:highlight w:val="none"/>
        </w:rPr>
      </w:pPr>
      <w:r>
        <w:rPr>
          <w:rFonts w:hint="eastAsia" w:ascii="宋体" w:hAnsi="宋体"/>
          <w:sz w:val="24"/>
          <w:highlight w:val="none"/>
        </w:rPr>
        <w:t>14.2翻译的中文资料与外文资料如果出现差异和矛盾，以中文为准。但不能故意错误翻译，否则，供应商的响应文件将作为无效处理。</w:t>
      </w:r>
    </w:p>
    <w:p w14:paraId="49B1E11B">
      <w:pPr>
        <w:spacing w:line="360" w:lineRule="auto"/>
        <w:ind w:hanging="15"/>
        <w:rPr>
          <w:rFonts w:ascii="宋体" w:hAnsi="宋体"/>
          <w:b/>
          <w:bCs/>
          <w:sz w:val="24"/>
          <w:highlight w:val="none"/>
        </w:rPr>
      </w:pPr>
      <w:r>
        <w:rPr>
          <w:rFonts w:hint="eastAsia" w:ascii="宋体" w:hAnsi="宋体"/>
          <w:b/>
          <w:bCs/>
          <w:sz w:val="24"/>
          <w:highlight w:val="none"/>
        </w:rPr>
        <w:t>15.计量单位（实质性要求）</w:t>
      </w:r>
    </w:p>
    <w:p w14:paraId="74E0D7B9">
      <w:pPr>
        <w:spacing w:line="360" w:lineRule="auto"/>
        <w:rPr>
          <w:rFonts w:ascii="宋体" w:hAnsi="宋体"/>
          <w:b/>
          <w:bCs/>
          <w:sz w:val="24"/>
          <w:highlight w:val="none"/>
        </w:rPr>
      </w:pPr>
      <w:r>
        <w:rPr>
          <w:rFonts w:hint="eastAsia" w:ascii="宋体" w:hAnsi="宋体"/>
          <w:sz w:val="24"/>
          <w:highlight w:val="none"/>
        </w:rPr>
        <w:t>除磋商文件中另有规定外，本次采购项目所有合同项下的报价均采用国家法定的计量单位。</w:t>
      </w:r>
    </w:p>
    <w:p w14:paraId="5AF0759B">
      <w:pPr>
        <w:spacing w:line="360" w:lineRule="auto"/>
        <w:ind w:hanging="15"/>
        <w:rPr>
          <w:rFonts w:ascii="宋体" w:hAnsi="宋体"/>
          <w:b/>
          <w:bCs/>
          <w:sz w:val="24"/>
          <w:highlight w:val="none"/>
        </w:rPr>
      </w:pPr>
      <w:r>
        <w:rPr>
          <w:rFonts w:hint="eastAsia" w:ascii="宋体" w:hAnsi="宋体"/>
          <w:b/>
          <w:bCs/>
          <w:sz w:val="24"/>
          <w:highlight w:val="none"/>
        </w:rPr>
        <w:t>16.</w:t>
      </w:r>
      <w:r>
        <w:rPr>
          <w:rFonts w:hint="eastAsia" w:ascii="宋体" w:hAnsi="宋体"/>
          <w:b/>
          <w:sz w:val="24"/>
          <w:highlight w:val="none"/>
        </w:rPr>
        <w:t>报价</w:t>
      </w:r>
      <w:r>
        <w:rPr>
          <w:rFonts w:hint="eastAsia" w:ascii="宋体" w:hAnsi="宋体"/>
          <w:b/>
          <w:bCs/>
          <w:sz w:val="24"/>
          <w:highlight w:val="none"/>
        </w:rPr>
        <w:t>货币（实质性要求）</w:t>
      </w:r>
    </w:p>
    <w:p w14:paraId="22A31F45">
      <w:pPr>
        <w:spacing w:line="360" w:lineRule="auto"/>
        <w:ind w:hanging="15"/>
        <w:rPr>
          <w:rFonts w:ascii="宋体" w:hAnsi="宋体"/>
          <w:bCs/>
          <w:sz w:val="24"/>
          <w:highlight w:val="none"/>
        </w:rPr>
      </w:pPr>
      <w:r>
        <w:rPr>
          <w:rFonts w:hint="eastAsia" w:ascii="宋体" w:hAnsi="宋体"/>
          <w:bCs/>
          <w:sz w:val="24"/>
          <w:highlight w:val="none"/>
        </w:rPr>
        <w:t>本次磋商项目的</w:t>
      </w:r>
      <w:r>
        <w:rPr>
          <w:rFonts w:hint="eastAsia" w:ascii="宋体" w:hAnsi="宋体"/>
          <w:sz w:val="24"/>
          <w:highlight w:val="none"/>
        </w:rPr>
        <w:t>报价货币为</w:t>
      </w:r>
      <w:r>
        <w:rPr>
          <w:rFonts w:hint="eastAsia" w:ascii="宋体" w:hAnsi="宋体"/>
          <w:bCs/>
          <w:sz w:val="24"/>
          <w:highlight w:val="none"/>
        </w:rPr>
        <w:t>人民币，报价以磋商文件规定为准。</w:t>
      </w:r>
    </w:p>
    <w:p w14:paraId="6F36E60E">
      <w:pPr>
        <w:spacing w:line="360" w:lineRule="auto"/>
        <w:ind w:hanging="15"/>
        <w:rPr>
          <w:rFonts w:ascii="宋体" w:hAnsi="宋体"/>
          <w:b/>
          <w:bCs/>
          <w:sz w:val="24"/>
          <w:highlight w:val="none"/>
        </w:rPr>
      </w:pPr>
      <w:r>
        <w:rPr>
          <w:rFonts w:hint="eastAsia" w:ascii="宋体" w:hAnsi="宋体"/>
          <w:b/>
          <w:bCs/>
          <w:sz w:val="24"/>
          <w:highlight w:val="none"/>
        </w:rPr>
        <w:t>17.响应文件格式</w:t>
      </w:r>
    </w:p>
    <w:p w14:paraId="3ECBA508">
      <w:pPr>
        <w:spacing w:line="360" w:lineRule="auto"/>
        <w:ind w:hanging="15"/>
        <w:rPr>
          <w:rFonts w:ascii="宋体" w:hAnsi="宋体"/>
          <w:bCs/>
          <w:sz w:val="24"/>
          <w:highlight w:val="none"/>
        </w:rPr>
      </w:pPr>
      <w:r>
        <w:rPr>
          <w:rFonts w:hint="eastAsia" w:ascii="宋体" w:hAnsi="宋体"/>
          <w:bCs/>
          <w:sz w:val="24"/>
          <w:highlight w:val="none"/>
        </w:rPr>
        <w:t>17.1供应商应执行磋商文件</w:t>
      </w:r>
      <w:r>
        <w:rPr>
          <w:rFonts w:hint="eastAsia" w:ascii="宋体" w:hAnsi="宋体"/>
          <w:b/>
          <w:sz w:val="24"/>
          <w:highlight w:val="none"/>
        </w:rPr>
        <w:t>第六章</w:t>
      </w:r>
      <w:r>
        <w:rPr>
          <w:rFonts w:hint="eastAsia" w:ascii="宋体" w:hAnsi="宋体"/>
          <w:bCs/>
          <w:sz w:val="24"/>
          <w:highlight w:val="none"/>
        </w:rPr>
        <w:t>的规定要求。</w:t>
      </w:r>
    </w:p>
    <w:p w14:paraId="0F840549">
      <w:pPr>
        <w:spacing w:line="360" w:lineRule="auto"/>
        <w:ind w:hanging="15"/>
        <w:rPr>
          <w:rFonts w:ascii="宋体" w:hAnsi="宋体"/>
          <w:sz w:val="24"/>
          <w:highlight w:val="none"/>
        </w:rPr>
      </w:pPr>
      <w:r>
        <w:rPr>
          <w:rFonts w:hint="eastAsia" w:ascii="宋体" w:hAnsi="宋体"/>
          <w:sz w:val="24"/>
          <w:highlight w:val="none"/>
        </w:rPr>
        <w:t>17.2对于没有格式要求的磋商文件由供应商自行编写。</w:t>
      </w:r>
      <w:bookmarkStart w:id="425" w:name="_Toc183582224"/>
      <w:bookmarkStart w:id="426" w:name="_Toc217446051"/>
      <w:bookmarkStart w:id="427" w:name="_Toc183682361"/>
    </w:p>
    <w:p w14:paraId="52182D3C">
      <w:pPr>
        <w:spacing w:line="360" w:lineRule="auto"/>
        <w:ind w:hanging="15"/>
        <w:rPr>
          <w:rFonts w:ascii="宋体" w:hAnsi="宋体"/>
          <w:b/>
          <w:sz w:val="24"/>
          <w:highlight w:val="none"/>
        </w:rPr>
      </w:pPr>
      <w:r>
        <w:rPr>
          <w:rFonts w:hint="eastAsia" w:ascii="宋体" w:hAnsi="宋体"/>
          <w:b/>
          <w:sz w:val="24"/>
          <w:highlight w:val="none"/>
        </w:rPr>
        <w:t>18.响应文件的编制和签署</w:t>
      </w:r>
    </w:p>
    <w:p w14:paraId="7CB534BA">
      <w:pPr>
        <w:spacing w:line="360" w:lineRule="auto"/>
        <w:ind w:hanging="15"/>
        <w:rPr>
          <w:rFonts w:ascii="宋体" w:hAnsi="宋体"/>
          <w:bCs/>
          <w:sz w:val="24"/>
          <w:highlight w:val="none"/>
        </w:rPr>
      </w:pPr>
      <w:r>
        <w:rPr>
          <w:rFonts w:hint="eastAsia" w:ascii="宋体" w:hAnsi="宋体"/>
          <w:sz w:val="24"/>
          <w:highlight w:val="none"/>
        </w:rPr>
        <w:t>18.1</w:t>
      </w:r>
      <w:r>
        <w:rPr>
          <w:rFonts w:hint="eastAsia" w:ascii="宋体" w:hAnsi="宋体"/>
          <w:b/>
          <w:bCs/>
          <w:sz w:val="24"/>
          <w:highlight w:val="none"/>
        </w:rPr>
        <w:t>响应文件正本、副本份数详见“第二章供应商须知前附表”，</w:t>
      </w:r>
      <w:r>
        <w:rPr>
          <w:rFonts w:hint="eastAsia" w:hAnsi="宋体"/>
          <w:b/>
          <w:bCs/>
          <w:sz w:val="24"/>
          <w:szCs w:val="24"/>
          <w:highlight w:val="none"/>
        </w:rPr>
        <w:t>用于磋商报价</w:t>
      </w:r>
      <w:r>
        <w:rPr>
          <w:rFonts w:hint="eastAsia" w:hAnsi="宋体"/>
          <w:sz w:val="24"/>
          <w:szCs w:val="24"/>
          <w:highlight w:val="none"/>
        </w:rPr>
        <w:t>，</w:t>
      </w:r>
      <w:r>
        <w:rPr>
          <w:rFonts w:hint="eastAsia" w:ascii="宋体" w:hAnsi="宋体"/>
          <w:bCs/>
          <w:sz w:val="24"/>
          <w:highlight w:val="none"/>
        </w:rPr>
        <w:t>并在其封面上清楚地标明响应文件、采购项目名称、采购项目编号、供应商名称以及“正本”或“副本”字样。若正本和副本有不一致的内容，以正本书面响应文件为准。</w:t>
      </w:r>
    </w:p>
    <w:bookmarkEnd w:id="425"/>
    <w:bookmarkEnd w:id="426"/>
    <w:bookmarkEnd w:id="427"/>
    <w:p w14:paraId="04A0716F">
      <w:pPr>
        <w:spacing w:line="360" w:lineRule="auto"/>
        <w:ind w:hanging="15"/>
        <w:rPr>
          <w:rFonts w:hint="eastAsia" w:ascii="宋体" w:hAnsi="宋体"/>
          <w:bCs/>
          <w:sz w:val="24"/>
          <w:highlight w:val="none"/>
        </w:rPr>
      </w:pPr>
      <w:r>
        <w:rPr>
          <w:rFonts w:hint="eastAsia" w:ascii="宋体" w:hAnsi="宋体"/>
          <w:bCs/>
          <w:sz w:val="24"/>
          <w:highlight w:val="none"/>
        </w:rPr>
        <w:t>18.2响应文件正本和副本均需在规定签章处签字和盖章。响应文件副本可采用正本的复印件。</w:t>
      </w:r>
    </w:p>
    <w:p w14:paraId="5ECDD598">
      <w:pPr>
        <w:spacing w:line="360" w:lineRule="auto"/>
        <w:ind w:hanging="15"/>
        <w:rPr>
          <w:rFonts w:ascii="宋体" w:hAnsi="宋体"/>
          <w:bCs/>
          <w:sz w:val="24"/>
          <w:highlight w:val="none"/>
        </w:rPr>
      </w:pPr>
      <w:r>
        <w:rPr>
          <w:rFonts w:hint="eastAsia" w:ascii="宋体" w:hAnsi="宋体"/>
          <w:bCs/>
          <w:sz w:val="24"/>
          <w:highlight w:val="none"/>
        </w:rPr>
        <w:t>18.3响应文件的打印和书写应清楚工整，任何行间插字、涂改或增删，必须由供应商的法定代表人或其授权代表签字并盖供应商公章。</w:t>
      </w:r>
    </w:p>
    <w:p w14:paraId="311E08B0">
      <w:pPr>
        <w:spacing w:line="360" w:lineRule="auto"/>
        <w:ind w:hanging="15"/>
        <w:rPr>
          <w:rFonts w:ascii="宋体" w:hAnsi="宋体"/>
          <w:bCs/>
          <w:sz w:val="24"/>
          <w:highlight w:val="none"/>
        </w:rPr>
      </w:pPr>
      <w:r>
        <w:rPr>
          <w:rFonts w:hint="eastAsia" w:ascii="宋体" w:hAnsi="宋体"/>
          <w:bCs/>
          <w:sz w:val="24"/>
          <w:highlight w:val="none"/>
        </w:rPr>
        <w:t>18.4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40C9E893">
      <w:pPr>
        <w:spacing w:line="360" w:lineRule="auto"/>
        <w:ind w:hanging="15"/>
        <w:rPr>
          <w:rFonts w:ascii="宋体" w:hAnsi="宋体"/>
          <w:bCs/>
          <w:sz w:val="24"/>
          <w:highlight w:val="none"/>
        </w:rPr>
      </w:pPr>
      <w:r>
        <w:rPr>
          <w:rFonts w:hint="eastAsia" w:ascii="宋体" w:hAnsi="宋体"/>
          <w:bCs/>
          <w:sz w:val="24"/>
          <w:highlight w:val="none"/>
        </w:rPr>
        <w:t>18.5响应文件正本和副本需要逐页编目编码。</w:t>
      </w:r>
    </w:p>
    <w:p w14:paraId="04952AC1">
      <w:pPr>
        <w:tabs>
          <w:tab w:val="left" w:pos="1080"/>
        </w:tabs>
        <w:spacing w:line="360" w:lineRule="auto"/>
        <w:ind w:hanging="15"/>
        <w:rPr>
          <w:rFonts w:ascii="宋体" w:hAnsi="宋体"/>
          <w:sz w:val="24"/>
          <w:highlight w:val="none"/>
        </w:rPr>
      </w:pPr>
      <w:r>
        <w:rPr>
          <w:rFonts w:hint="eastAsia" w:ascii="宋体" w:hAnsi="宋体"/>
          <w:sz w:val="24"/>
          <w:highlight w:val="none"/>
        </w:rPr>
        <w:t>18.6</w:t>
      </w:r>
      <w:r>
        <w:rPr>
          <w:rFonts w:hint="eastAsia" w:ascii="宋体" w:hAnsi="宋体"/>
          <w:b/>
          <w:sz w:val="24"/>
          <w:highlight w:val="none"/>
        </w:rPr>
        <w:t>（实质性要求）</w:t>
      </w:r>
      <w:r>
        <w:rPr>
          <w:rFonts w:hint="eastAsia" w:ascii="宋体" w:hAnsi="宋体"/>
          <w:sz w:val="24"/>
          <w:highlight w:val="none"/>
        </w:rPr>
        <w:t>响应文件正本和副本应当采用胶装方式装订成册，不得散装或者合页装订。</w:t>
      </w:r>
    </w:p>
    <w:p w14:paraId="7D92F387">
      <w:pPr>
        <w:tabs>
          <w:tab w:val="left" w:pos="1080"/>
        </w:tabs>
        <w:spacing w:line="360" w:lineRule="auto"/>
        <w:ind w:hanging="15"/>
        <w:rPr>
          <w:rFonts w:ascii="宋体" w:hAnsi="宋体"/>
          <w:sz w:val="24"/>
          <w:highlight w:val="none"/>
        </w:rPr>
      </w:pPr>
      <w:r>
        <w:rPr>
          <w:rFonts w:hint="eastAsia" w:ascii="宋体" w:hAnsi="宋体"/>
          <w:sz w:val="24"/>
          <w:highlight w:val="none"/>
        </w:rPr>
        <w:t>18.7</w:t>
      </w:r>
      <w:r>
        <w:rPr>
          <w:rFonts w:hint="eastAsia" w:ascii="宋体" w:hAnsi="宋体"/>
          <w:b/>
          <w:sz w:val="24"/>
          <w:highlight w:val="none"/>
        </w:rPr>
        <w:t>（实质性要求）</w:t>
      </w:r>
      <w:r>
        <w:rPr>
          <w:rFonts w:hint="eastAsia" w:ascii="宋体" w:hAnsi="宋体"/>
          <w:sz w:val="24"/>
          <w:highlight w:val="none"/>
        </w:rPr>
        <w:t>响应文件应根据磋商文件的要求制作，签署、盖章。（参照《四川省政府采购评审工作规程（修订）》规范）</w:t>
      </w:r>
    </w:p>
    <w:p w14:paraId="659E22D4">
      <w:pPr>
        <w:tabs>
          <w:tab w:val="left" w:pos="1080"/>
        </w:tabs>
        <w:spacing w:line="360" w:lineRule="auto"/>
        <w:ind w:hanging="15"/>
        <w:rPr>
          <w:rFonts w:ascii="宋体"/>
          <w:b/>
          <w:sz w:val="24"/>
          <w:highlight w:val="none"/>
        </w:rPr>
      </w:pPr>
      <w:r>
        <w:rPr>
          <w:rFonts w:hint="eastAsia" w:ascii="宋体" w:hAnsi="宋体"/>
          <w:sz w:val="24"/>
          <w:highlight w:val="none"/>
        </w:rPr>
        <w:t>18.9响应文件统一用</w:t>
      </w:r>
      <w:r>
        <w:rPr>
          <w:rFonts w:ascii="宋体" w:hAnsi="宋体"/>
          <w:sz w:val="24"/>
          <w:highlight w:val="none"/>
        </w:rPr>
        <w:t>A4</w:t>
      </w:r>
      <w:r>
        <w:rPr>
          <w:rFonts w:hint="eastAsia" w:ascii="宋体" w:hAnsi="宋体"/>
          <w:sz w:val="24"/>
          <w:highlight w:val="none"/>
        </w:rPr>
        <w:t>幅面纸印制，除另有规定外。</w:t>
      </w:r>
    </w:p>
    <w:p w14:paraId="69EF9974">
      <w:pPr>
        <w:tabs>
          <w:tab w:val="left" w:pos="1080"/>
        </w:tabs>
        <w:spacing w:line="360" w:lineRule="auto"/>
        <w:ind w:hanging="15"/>
        <w:rPr>
          <w:rFonts w:ascii="宋体"/>
          <w:b/>
          <w:sz w:val="24"/>
          <w:highlight w:val="none"/>
        </w:rPr>
      </w:pPr>
      <w:r>
        <w:rPr>
          <w:rFonts w:hint="eastAsia" w:ascii="宋体"/>
          <w:b/>
          <w:sz w:val="24"/>
          <w:highlight w:val="none"/>
        </w:rPr>
        <w:t>19.响应文件的密封和标注（不属于本项目磋商小组评审范畴，由采购人在接收响应文件时及时处理）</w:t>
      </w:r>
    </w:p>
    <w:p w14:paraId="6137090A">
      <w:pPr>
        <w:tabs>
          <w:tab w:val="left" w:pos="1080"/>
        </w:tabs>
        <w:spacing w:line="360" w:lineRule="auto"/>
        <w:ind w:hanging="15"/>
        <w:rPr>
          <w:rFonts w:ascii="宋体"/>
          <w:sz w:val="24"/>
          <w:highlight w:val="none"/>
        </w:rPr>
      </w:pPr>
      <w:r>
        <w:rPr>
          <w:rFonts w:hint="eastAsia" w:ascii="宋体"/>
          <w:sz w:val="24"/>
          <w:highlight w:val="none"/>
        </w:rPr>
        <w:t>19.1响应文件可以单独密封包装，也可以所有响应文件密封包装在一个密封袋内。</w:t>
      </w:r>
    </w:p>
    <w:p w14:paraId="283DCBFF">
      <w:pPr>
        <w:tabs>
          <w:tab w:val="left" w:pos="1080"/>
        </w:tabs>
        <w:spacing w:line="360" w:lineRule="auto"/>
        <w:ind w:hanging="15"/>
        <w:rPr>
          <w:rFonts w:ascii="宋体"/>
          <w:sz w:val="24"/>
          <w:highlight w:val="none"/>
        </w:rPr>
      </w:pPr>
      <w:r>
        <w:rPr>
          <w:rFonts w:hint="eastAsia" w:ascii="宋体"/>
          <w:sz w:val="24"/>
          <w:highlight w:val="none"/>
        </w:rPr>
        <w:t>19.2响应文件密封袋的最外层应清楚地标明采购项目名称、采购项目编号、供应商名称。</w:t>
      </w:r>
    </w:p>
    <w:p w14:paraId="4FE04D27">
      <w:pPr>
        <w:tabs>
          <w:tab w:val="left" w:pos="1080"/>
        </w:tabs>
        <w:spacing w:line="360" w:lineRule="auto"/>
        <w:ind w:hanging="15"/>
        <w:rPr>
          <w:rFonts w:ascii="宋体"/>
          <w:sz w:val="24"/>
          <w:highlight w:val="none"/>
        </w:rPr>
      </w:pPr>
      <w:r>
        <w:rPr>
          <w:rFonts w:hint="eastAsia" w:ascii="宋体"/>
          <w:sz w:val="24"/>
          <w:highlight w:val="none"/>
        </w:rPr>
        <w:t>19.3所有外层密封袋的封口处应粘贴牢固。</w:t>
      </w:r>
    </w:p>
    <w:p w14:paraId="70EF095D">
      <w:pPr>
        <w:tabs>
          <w:tab w:val="left" w:pos="1080"/>
        </w:tabs>
        <w:spacing w:line="360" w:lineRule="auto"/>
        <w:ind w:hanging="15"/>
        <w:rPr>
          <w:rFonts w:ascii="宋体"/>
          <w:sz w:val="24"/>
          <w:highlight w:val="none"/>
        </w:rPr>
      </w:pPr>
      <w:r>
        <w:rPr>
          <w:rFonts w:hint="eastAsia" w:ascii="宋体"/>
          <w:sz w:val="24"/>
          <w:highlight w:val="none"/>
        </w:rPr>
        <w:t>19.4未按以上要求进行密封和标注的响应文件，采购人将拒收或者在时间允许的范围内，要求修改完善后接收。</w:t>
      </w:r>
    </w:p>
    <w:p w14:paraId="60EAC952">
      <w:pPr>
        <w:tabs>
          <w:tab w:val="left" w:pos="1080"/>
        </w:tabs>
        <w:spacing w:line="360" w:lineRule="auto"/>
        <w:ind w:hanging="15"/>
        <w:rPr>
          <w:rFonts w:ascii="宋体"/>
          <w:b/>
          <w:sz w:val="24"/>
          <w:highlight w:val="none"/>
        </w:rPr>
      </w:pPr>
      <w:r>
        <w:rPr>
          <w:rFonts w:hint="eastAsia" w:ascii="宋体"/>
          <w:b/>
          <w:sz w:val="24"/>
          <w:highlight w:val="none"/>
        </w:rPr>
        <w:t>20.响应文件的递交</w:t>
      </w:r>
    </w:p>
    <w:p w14:paraId="4DDCD1DD">
      <w:pPr>
        <w:tabs>
          <w:tab w:val="left" w:pos="1080"/>
        </w:tabs>
        <w:spacing w:line="360" w:lineRule="auto"/>
        <w:ind w:hanging="15"/>
        <w:rPr>
          <w:rFonts w:ascii="宋体"/>
          <w:sz w:val="24"/>
          <w:highlight w:val="none"/>
        </w:rPr>
      </w:pPr>
      <w:r>
        <w:rPr>
          <w:rFonts w:hint="eastAsia" w:ascii="宋体"/>
          <w:sz w:val="24"/>
          <w:highlight w:val="none"/>
        </w:rPr>
        <w:t>20.1响应文件应于递交响应文件截止时间前送达指定地点，采购人拒绝接收截止时间后送达的响应文件。</w:t>
      </w:r>
    </w:p>
    <w:p w14:paraId="21B03C45">
      <w:pPr>
        <w:tabs>
          <w:tab w:val="left" w:pos="1080"/>
        </w:tabs>
        <w:spacing w:line="360" w:lineRule="auto"/>
        <w:ind w:hanging="15"/>
        <w:rPr>
          <w:rFonts w:ascii="宋体"/>
          <w:color w:val="000000"/>
          <w:sz w:val="24"/>
          <w:highlight w:val="none"/>
        </w:rPr>
      </w:pPr>
      <w:r>
        <w:rPr>
          <w:rFonts w:hint="eastAsia" w:ascii="宋体"/>
          <w:color w:val="000000"/>
          <w:sz w:val="24"/>
          <w:highlight w:val="none"/>
        </w:rPr>
        <w:t>20.2采购人将向通过资格审查的供应商发出磋商邀请；告知未通过资格审查的供应商未通过的原因。</w:t>
      </w:r>
    </w:p>
    <w:p w14:paraId="66BA7CBE">
      <w:pPr>
        <w:tabs>
          <w:tab w:val="left" w:pos="1080"/>
        </w:tabs>
        <w:spacing w:line="360" w:lineRule="auto"/>
        <w:ind w:hanging="15"/>
        <w:rPr>
          <w:rFonts w:ascii="宋体"/>
          <w:sz w:val="24"/>
          <w:highlight w:val="none"/>
        </w:rPr>
      </w:pPr>
      <w:r>
        <w:rPr>
          <w:rFonts w:hint="eastAsia" w:ascii="宋体"/>
          <w:sz w:val="24"/>
          <w:highlight w:val="none"/>
        </w:rPr>
        <w:t>20.3最终报价在磋商后，磋商小组要求供应商进行最后报价时递交。</w:t>
      </w:r>
    </w:p>
    <w:p w14:paraId="63DA47B2">
      <w:pPr>
        <w:tabs>
          <w:tab w:val="left" w:pos="1080"/>
        </w:tabs>
        <w:spacing w:line="360" w:lineRule="auto"/>
        <w:ind w:hanging="15"/>
        <w:rPr>
          <w:rFonts w:ascii="宋体"/>
          <w:sz w:val="24"/>
          <w:highlight w:val="none"/>
        </w:rPr>
      </w:pPr>
      <w:r>
        <w:rPr>
          <w:rFonts w:hint="eastAsia" w:ascii="宋体"/>
          <w:sz w:val="24"/>
          <w:highlight w:val="none"/>
        </w:rPr>
        <w:t>20.4本次采购不接收邮寄的响应文件。</w:t>
      </w:r>
    </w:p>
    <w:p w14:paraId="7D529AF6">
      <w:pPr>
        <w:tabs>
          <w:tab w:val="left" w:pos="1080"/>
        </w:tabs>
        <w:spacing w:line="360" w:lineRule="auto"/>
        <w:ind w:hanging="15"/>
        <w:rPr>
          <w:rFonts w:ascii="宋体" w:hAnsi="宋体"/>
          <w:b/>
          <w:sz w:val="24"/>
          <w:highlight w:val="none"/>
        </w:rPr>
      </w:pPr>
      <w:bookmarkStart w:id="428" w:name="_Toc183682365"/>
      <w:bookmarkStart w:id="429" w:name="_Toc217446055"/>
      <w:bookmarkStart w:id="430" w:name="_Toc183582228"/>
      <w:r>
        <w:rPr>
          <w:rFonts w:hint="eastAsia" w:ascii="宋体" w:hAnsi="宋体"/>
          <w:b/>
          <w:sz w:val="24"/>
          <w:highlight w:val="none"/>
        </w:rPr>
        <w:t>21.响应文件的修改和撤回（补充、修改响应文件的</w:t>
      </w:r>
      <w:r>
        <w:rPr>
          <w:rFonts w:hint="eastAsia" w:ascii="宋体"/>
          <w:b/>
          <w:sz w:val="24"/>
          <w:highlight w:val="none"/>
        </w:rPr>
        <w:t>密封和标注按照本章“19.响应文件的密封和标注”规定处理</w:t>
      </w:r>
      <w:r>
        <w:rPr>
          <w:rFonts w:hint="eastAsia" w:ascii="宋体" w:hAnsi="宋体"/>
          <w:b/>
          <w:sz w:val="24"/>
          <w:highlight w:val="none"/>
        </w:rPr>
        <w:t>）</w:t>
      </w:r>
    </w:p>
    <w:p w14:paraId="72575336">
      <w:pPr>
        <w:pStyle w:val="7"/>
        <w:spacing w:line="360" w:lineRule="auto"/>
        <w:ind w:hanging="15"/>
        <w:rPr>
          <w:rFonts w:hint="eastAsia" w:ascii="宋体" w:hAnsi="宋体" w:cs="宋体"/>
          <w:sz w:val="24"/>
          <w:highlight w:val="none"/>
        </w:rPr>
      </w:pPr>
      <w:r>
        <w:rPr>
          <w:rFonts w:hint="eastAsia" w:ascii="宋体" w:hAnsi="宋体" w:cs="宋体"/>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3F5F3943">
      <w:pPr>
        <w:adjustRightInd w:val="0"/>
        <w:snapToGrid w:val="0"/>
        <w:spacing w:line="360" w:lineRule="auto"/>
        <w:ind w:hanging="15"/>
        <w:rPr>
          <w:rFonts w:hint="eastAsia" w:ascii="宋体" w:hAnsi="宋体" w:cs="宋体"/>
          <w:sz w:val="24"/>
          <w:highlight w:val="none"/>
        </w:rPr>
      </w:pPr>
      <w:r>
        <w:rPr>
          <w:rFonts w:hint="eastAsia" w:ascii="宋体" w:hAnsi="宋体" w:cs="宋体"/>
          <w:sz w:val="24"/>
          <w:highlight w:val="none"/>
        </w:rPr>
        <w:t>21.2供应商对响应文件修改的书面材料或撤回的通知应该按规定进行编写、密封、标注和递送，并注明“修改响应文件”字样。</w:t>
      </w:r>
    </w:p>
    <w:p w14:paraId="6926E6F5">
      <w:pPr>
        <w:adjustRightInd w:val="0"/>
        <w:snapToGrid w:val="0"/>
        <w:spacing w:line="360" w:lineRule="auto"/>
        <w:ind w:hanging="15"/>
        <w:rPr>
          <w:rFonts w:hint="eastAsia" w:ascii="宋体" w:hAnsi="宋体" w:cs="宋体"/>
          <w:sz w:val="24"/>
          <w:highlight w:val="none"/>
        </w:rPr>
      </w:pPr>
      <w:r>
        <w:rPr>
          <w:rFonts w:hint="eastAsia" w:ascii="宋体" w:hAnsi="宋体" w:cs="宋体"/>
          <w:sz w:val="24"/>
          <w:highlight w:val="none"/>
        </w:rPr>
        <w:t>21.3供应商不得在递交截止时间起至响应文件有效期期满前撤销其响应文件。否则其磋商保证金将按“第二部分总则“7”的相关规定被没收。</w:t>
      </w:r>
    </w:p>
    <w:p w14:paraId="6FC886FB">
      <w:pPr>
        <w:spacing w:line="360" w:lineRule="auto"/>
        <w:ind w:hanging="15"/>
        <w:rPr>
          <w:rFonts w:hAnsi="宋体"/>
          <w:sz w:val="24"/>
          <w:highlight w:val="none"/>
        </w:rPr>
      </w:pPr>
      <w:r>
        <w:rPr>
          <w:rFonts w:hint="eastAsia" w:ascii="宋体" w:hAnsi="宋体" w:cs="宋体"/>
          <w:sz w:val="24"/>
          <w:highlight w:val="none"/>
        </w:rPr>
        <w:t>21.4</w:t>
      </w:r>
      <w:r>
        <w:rPr>
          <w:rFonts w:hint="eastAsia" w:hAnsi="宋体"/>
          <w:sz w:val="24"/>
          <w:highlight w:val="none"/>
        </w:rPr>
        <w:t>响应文件中报价如果出现下列不一致的，可按以下原则进行修改：</w:t>
      </w:r>
    </w:p>
    <w:p w14:paraId="0E644AF2">
      <w:pPr>
        <w:spacing w:line="360" w:lineRule="auto"/>
        <w:ind w:hanging="15"/>
        <w:rPr>
          <w:rFonts w:ascii="宋体" w:hAnsi="宋体"/>
          <w:sz w:val="24"/>
          <w:highlight w:val="none"/>
        </w:rPr>
      </w:pPr>
      <w:r>
        <w:rPr>
          <w:rFonts w:hint="eastAsia" w:ascii="宋体" w:hAnsi="宋体"/>
          <w:sz w:val="24"/>
          <w:highlight w:val="none"/>
        </w:rPr>
        <w:t>（一）</w:t>
      </w:r>
      <w:r>
        <w:rPr>
          <w:rFonts w:hint="eastAsia" w:ascii="宋体" w:hAnsi="宋体" w:cs="宋体"/>
          <w:sz w:val="24"/>
          <w:highlight w:val="none"/>
        </w:rPr>
        <w:t>大写金额和小写金额不一致的，以大写金额为准</w:t>
      </w:r>
      <w:r>
        <w:rPr>
          <w:rFonts w:hint="eastAsia" w:ascii="宋体" w:hAnsi="宋体"/>
          <w:sz w:val="24"/>
          <w:highlight w:val="none"/>
        </w:rPr>
        <w:t>，但大写金额文字存在错误的，应当先对大写金额的文字错误进行澄清、说明或者更正，再行修正。</w:t>
      </w:r>
    </w:p>
    <w:p w14:paraId="64E2229C">
      <w:pPr>
        <w:spacing w:line="360" w:lineRule="auto"/>
        <w:ind w:hanging="15"/>
        <w:rPr>
          <w:rFonts w:ascii="宋体" w:hAnsi="宋体"/>
          <w:sz w:val="24"/>
          <w:highlight w:val="none"/>
        </w:rPr>
      </w:pPr>
      <w:r>
        <w:rPr>
          <w:rFonts w:hint="eastAsia" w:ascii="宋体" w:hAnsi="宋体"/>
          <w:sz w:val="24"/>
          <w:highlight w:val="none"/>
        </w:rPr>
        <w:t>（二）</w:t>
      </w:r>
      <w:r>
        <w:rPr>
          <w:rFonts w:hint="eastAsia" w:ascii="宋体" w:hAnsi="宋体" w:cs="宋体"/>
          <w:sz w:val="24"/>
          <w:highlight w:val="none"/>
        </w:rPr>
        <w:t>总价金额与按单价汇总金额不一致的，以单价金额计算结果为准，</w:t>
      </w:r>
      <w:r>
        <w:rPr>
          <w:rFonts w:hint="eastAsia" w:ascii="宋体" w:hAnsi="宋体"/>
          <w:sz w:val="24"/>
          <w:highlight w:val="none"/>
        </w:rPr>
        <w:t>但</w:t>
      </w:r>
      <w:r>
        <w:rPr>
          <w:rFonts w:hint="eastAsia" w:ascii="宋体" w:hAnsi="宋体" w:cs="宋体"/>
          <w:sz w:val="24"/>
          <w:highlight w:val="none"/>
        </w:rPr>
        <w:t>单价或者单价汇总金额存在数字或者</w:t>
      </w:r>
      <w:r>
        <w:rPr>
          <w:rFonts w:hint="eastAsia" w:ascii="宋体" w:hAnsi="宋体"/>
          <w:sz w:val="24"/>
          <w:highlight w:val="none"/>
        </w:rPr>
        <w:t>文字错误的，应当先对</w:t>
      </w:r>
      <w:r>
        <w:rPr>
          <w:rFonts w:hint="eastAsia" w:ascii="宋体" w:hAnsi="宋体" w:cs="宋体"/>
          <w:sz w:val="24"/>
          <w:highlight w:val="none"/>
        </w:rPr>
        <w:t>数字或者</w:t>
      </w:r>
      <w:r>
        <w:rPr>
          <w:rFonts w:hint="eastAsia" w:ascii="宋体" w:hAnsi="宋体"/>
          <w:sz w:val="24"/>
          <w:highlight w:val="none"/>
        </w:rPr>
        <w:t>文字错误进行澄清、说明或者更正，再行修正。</w:t>
      </w:r>
    </w:p>
    <w:p w14:paraId="49A0A786">
      <w:pPr>
        <w:spacing w:line="360" w:lineRule="auto"/>
        <w:ind w:hanging="15"/>
        <w:rPr>
          <w:rFonts w:hint="eastAsia" w:ascii="宋体" w:hAnsi="宋体" w:cs="宋体"/>
          <w:sz w:val="24"/>
          <w:highlight w:val="none"/>
        </w:rPr>
      </w:pPr>
      <w:r>
        <w:rPr>
          <w:rFonts w:hint="eastAsia" w:ascii="宋体" w:hAnsi="宋体"/>
          <w:sz w:val="24"/>
          <w:highlight w:val="none"/>
        </w:rPr>
        <w:t>（三）单价金额小数点</w:t>
      </w:r>
      <w:r>
        <w:rPr>
          <w:rFonts w:hint="eastAsia" w:ascii="宋体" w:hAnsi="宋体" w:cs="宋体"/>
          <w:sz w:val="24"/>
          <w:highlight w:val="none"/>
        </w:rPr>
        <w:t>或者百分比有明显错位的</w:t>
      </w:r>
      <w:r>
        <w:rPr>
          <w:rFonts w:hint="eastAsia" w:ascii="宋体" w:hAnsi="宋体"/>
          <w:sz w:val="24"/>
          <w:highlight w:val="none"/>
        </w:rPr>
        <w:t>，以总价为准，修正单价。</w:t>
      </w:r>
      <w:r>
        <w:rPr>
          <w:rFonts w:hint="eastAsia" w:ascii="宋体" w:hAnsi="宋体" w:cs="宋体"/>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F12DFDC">
      <w:pPr>
        <w:spacing w:line="360" w:lineRule="auto"/>
        <w:ind w:hanging="15"/>
        <w:rPr>
          <w:rFonts w:ascii="宋体" w:hAnsi="宋体"/>
          <w:sz w:val="24"/>
          <w:highlight w:val="none"/>
        </w:rPr>
      </w:pPr>
      <w:r>
        <w:rPr>
          <w:rFonts w:hint="eastAsia" w:ascii="宋体" w:hAnsi="宋体" w:cs="宋体"/>
          <w:sz w:val="24"/>
          <w:highlight w:val="none"/>
        </w:rPr>
        <w:t>21.5</w:t>
      </w:r>
      <w:r>
        <w:rPr>
          <w:rFonts w:hint="eastAsia"/>
          <w:sz w:val="24"/>
          <w:highlight w:val="none"/>
        </w:rPr>
        <w:t>供应商对其提交的响应文件的真实性、合法性承担法律责任。</w:t>
      </w:r>
      <w:bookmarkEnd w:id="428"/>
      <w:bookmarkEnd w:id="429"/>
      <w:bookmarkEnd w:id="430"/>
    </w:p>
    <w:p w14:paraId="7AFE948C">
      <w:pPr>
        <w:pStyle w:val="6"/>
        <w:keepNext w:val="0"/>
        <w:keepLines w:val="0"/>
        <w:spacing w:line="360" w:lineRule="auto"/>
        <w:ind w:hanging="15"/>
        <w:jc w:val="center"/>
        <w:rPr>
          <w:highlight w:val="none"/>
        </w:rPr>
      </w:pPr>
      <w:bookmarkStart w:id="431" w:name="_Toc1868"/>
      <w:bookmarkStart w:id="432" w:name="_Toc17967"/>
      <w:bookmarkStart w:id="433" w:name="_Toc26525"/>
      <w:bookmarkStart w:id="434" w:name="_Toc29339"/>
      <w:bookmarkStart w:id="435" w:name="_Toc3663"/>
      <w:bookmarkStart w:id="436" w:name="_Toc823"/>
      <w:bookmarkStart w:id="437" w:name="_Toc29964"/>
      <w:bookmarkStart w:id="438" w:name="_Toc27177"/>
      <w:bookmarkStart w:id="439" w:name="_Toc15985"/>
      <w:bookmarkStart w:id="440" w:name="_Toc29696"/>
      <w:bookmarkStart w:id="441" w:name="_Toc6747"/>
      <w:bookmarkStart w:id="442" w:name="_Toc5026"/>
      <w:bookmarkStart w:id="443" w:name="_Toc9800"/>
      <w:bookmarkStart w:id="444" w:name="_Toc6103"/>
      <w:bookmarkStart w:id="445" w:name="_Toc24329"/>
      <w:bookmarkStart w:id="446" w:name="_Toc5142"/>
      <w:bookmarkStart w:id="447" w:name="_Toc13048"/>
      <w:bookmarkStart w:id="448" w:name="_Toc19888"/>
      <w:bookmarkStart w:id="449" w:name="_Toc23595"/>
      <w:bookmarkStart w:id="450" w:name="_Toc5045"/>
      <w:bookmarkStart w:id="451" w:name="_Toc23149"/>
      <w:bookmarkStart w:id="452" w:name="_Toc21235"/>
      <w:r>
        <w:rPr>
          <w:rFonts w:hint="eastAsia"/>
          <w:highlight w:val="none"/>
        </w:rPr>
        <w:t>五、评审</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9D68504">
      <w:pPr>
        <w:spacing w:line="360" w:lineRule="auto"/>
        <w:ind w:hanging="15"/>
        <w:rPr>
          <w:rFonts w:ascii="宋体" w:hAnsi="宋体"/>
          <w:sz w:val="24"/>
          <w:highlight w:val="none"/>
        </w:rPr>
      </w:pPr>
      <w:r>
        <w:rPr>
          <w:rFonts w:hint="eastAsia" w:ascii="宋体" w:hAnsi="宋体"/>
          <w:sz w:val="24"/>
          <w:highlight w:val="none"/>
        </w:rPr>
        <w:t>22.磋商小组的组建及其评审工作按照有关法律制度和本文件</w:t>
      </w:r>
      <w:r>
        <w:rPr>
          <w:rFonts w:hint="eastAsia" w:ascii="宋体" w:hAnsi="宋体"/>
          <w:b/>
          <w:bCs/>
          <w:sz w:val="24"/>
          <w:highlight w:val="none"/>
        </w:rPr>
        <w:t>第八章</w:t>
      </w:r>
      <w:r>
        <w:rPr>
          <w:rFonts w:hint="eastAsia" w:ascii="宋体" w:hAnsi="宋体"/>
          <w:sz w:val="24"/>
          <w:highlight w:val="none"/>
        </w:rPr>
        <w:t>的规定进行。</w:t>
      </w:r>
    </w:p>
    <w:p w14:paraId="0108672C">
      <w:pPr>
        <w:pStyle w:val="6"/>
        <w:keepNext w:val="0"/>
        <w:keepLines w:val="0"/>
        <w:spacing w:line="360" w:lineRule="auto"/>
        <w:ind w:hanging="15"/>
        <w:jc w:val="center"/>
        <w:rPr>
          <w:highlight w:val="none"/>
        </w:rPr>
      </w:pPr>
      <w:bookmarkStart w:id="453" w:name="_Toc24910"/>
      <w:bookmarkStart w:id="454" w:name="_Toc13852"/>
      <w:bookmarkStart w:id="455" w:name="_Toc19023"/>
      <w:bookmarkStart w:id="456" w:name="_Toc22792"/>
      <w:bookmarkStart w:id="457" w:name="_Toc22222"/>
      <w:bookmarkStart w:id="458" w:name="_Toc22339"/>
      <w:bookmarkStart w:id="459" w:name="_Toc32041"/>
      <w:bookmarkStart w:id="460" w:name="_Toc15245"/>
      <w:bookmarkStart w:id="461" w:name="_Toc13320"/>
      <w:bookmarkStart w:id="462" w:name="_Toc16999"/>
      <w:bookmarkStart w:id="463" w:name="_Toc1589"/>
      <w:bookmarkStart w:id="464" w:name="_Toc14144"/>
      <w:bookmarkStart w:id="465" w:name="_Toc23441"/>
      <w:bookmarkStart w:id="466" w:name="_Toc12227"/>
      <w:bookmarkStart w:id="467" w:name="_Toc15670"/>
      <w:bookmarkStart w:id="468" w:name="_Toc13295"/>
      <w:bookmarkStart w:id="469" w:name="_Toc15444"/>
      <w:bookmarkStart w:id="470" w:name="_Toc5390"/>
      <w:bookmarkStart w:id="471" w:name="_Toc3158"/>
      <w:bookmarkStart w:id="472" w:name="_Toc17380"/>
      <w:bookmarkStart w:id="473" w:name="_Toc3778"/>
      <w:bookmarkStart w:id="474" w:name="_Toc12662"/>
      <w:r>
        <w:rPr>
          <w:rFonts w:hint="eastAsia" w:ascii="黑体" w:hAnsi="宋体"/>
          <w:highlight w:val="none"/>
        </w:rPr>
        <w:t>六、成交事项</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82B0B22">
      <w:pPr>
        <w:spacing w:line="360" w:lineRule="auto"/>
        <w:ind w:hanging="15"/>
        <w:rPr>
          <w:rFonts w:ascii="宋体" w:hAnsi="宋体"/>
          <w:b/>
          <w:bCs/>
          <w:sz w:val="24"/>
          <w:highlight w:val="none"/>
        </w:rPr>
      </w:pPr>
      <w:r>
        <w:rPr>
          <w:rFonts w:hint="eastAsia" w:ascii="宋体" w:hAnsi="宋体"/>
          <w:b/>
          <w:bCs/>
          <w:sz w:val="24"/>
          <w:highlight w:val="none"/>
        </w:rPr>
        <w:t>23.确定成交供应商</w:t>
      </w:r>
    </w:p>
    <w:p w14:paraId="1D8E0440">
      <w:pPr>
        <w:spacing w:line="360" w:lineRule="auto"/>
        <w:ind w:firstLine="480" w:firstLineChars="200"/>
        <w:rPr>
          <w:rFonts w:ascii="宋体" w:hAnsi="宋体"/>
          <w:sz w:val="24"/>
          <w:highlight w:val="none"/>
        </w:rPr>
      </w:pPr>
      <w:r>
        <w:rPr>
          <w:rFonts w:hint="eastAsia" w:ascii="宋体" w:hAnsi="宋体"/>
          <w:sz w:val="24"/>
          <w:highlight w:val="none"/>
        </w:rPr>
        <w:t>采购人将按磋商小组推荐的成交候选供应商顺序确定成交供应商。</w:t>
      </w:r>
    </w:p>
    <w:p w14:paraId="7ABE290E">
      <w:pPr>
        <w:spacing w:line="360" w:lineRule="auto"/>
        <w:rPr>
          <w:rFonts w:ascii="宋体" w:hAnsi="宋体"/>
          <w:sz w:val="24"/>
          <w:highlight w:val="none"/>
        </w:rPr>
      </w:pPr>
      <w:r>
        <w:rPr>
          <w:rFonts w:hint="eastAsia" w:ascii="宋体" w:hAnsi="宋体"/>
          <w:sz w:val="24"/>
          <w:highlight w:val="none"/>
        </w:rPr>
        <w:t>23.1成交候选供应商并列的，采购人自主选择成交供应商。采购人逾期未确定成交供应商且不提出异议的，视为确定磋商报告提出的排序第一的供应商为成交供应商。</w:t>
      </w:r>
    </w:p>
    <w:p w14:paraId="3120B91B">
      <w:pPr>
        <w:spacing w:line="360" w:lineRule="auto"/>
        <w:ind w:hanging="15"/>
        <w:rPr>
          <w:rFonts w:ascii="宋体" w:hAnsi="宋体"/>
          <w:sz w:val="24"/>
          <w:highlight w:val="none"/>
        </w:rPr>
      </w:pPr>
      <w:r>
        <w:rPr>
          <w:rFonts w:hint="eastAsia" w:ascii="宋体" w:hAnsi="宋体"/>
          <w:sz w:val="24"/>
          <w:highlight w:val="none"/>
        </w:rPr>
        <w:t>23.3采购人确定成交供应商过程中，发现成交候选供应商有下列情形之一的，应当不予确定其为成交供应商：</w:t>
      </w:r>
    </w:p>
    <w:p w14:paraId="76E82A8E">
      <w:pPr>
        <w:spacing w:line="360" w:lineRule="auto"/>
        <w:ind w:hanging="15"/>
        <w:rPr>
          <w:rFonts w:ascii="宋体" w:hAnsi="宋体"/>
          <w:sz w:val="24"/>
          <w:highlight w:val="none"/>
        </w:rPr>
      </w:pPr>
      <w:r>
        <w:rPr>
          <w:rFonts w:hint="eastAsia" w:ascii="宋体" w:hAnsi="宋体"/>
          <w:sz w:val="24"/>
          <w:highlight w:val="none"/>
        </w:rPr>
        <w:t>（1）发现成交候选供应商存在禁止参加本项目采购活动的违法行为的；</w:t>
      </w:r>
    </w:p>
    <w:p w14:paraId="59F55EB9">
      <w:pPr>
        <w:spacing w:line="360" w:lineRule="auto"/>
        <w:ind w:hanging="15"/>
        <w:rPr>
          <w:rFonts w:ascii="宋体" w:hAnsi="宋体"/>
          <w:sz w:val="24"/>
          <w:highlight w:val="none"/>
        </w:rPr>
      </w:pPr>
      <w:r>
        <w:rPr>
          <w:rFonts w:hint="eastAsia" w:ascii="宋体" w:hAnsi="宋体"/>
          <w:sz w:val="24"/>
          <w:highlight w:val="none"/>
        </w:rPr>
        <w:t>（2）成交候选供应商因不可抗力，不能继续参加采购活动；</w:t>
      </w:r>
    </w:p>
    <w:p w14:paraId="2DEC8E13">
      <w:pPr>
        <w:spacing w:line="360" w:lineRule="auto"/>
        <w:ind w:hanging="15"/>
        <w:rPr>
          <w:rFonts w:ascii="宋体" w:hAnsi="宋体"/>
          <w:sz w:val="24"/>
          <w:highlight w:val="none"/>
        </w:rPr>
      </w:pPr>
      <w:r>
        <w:rPr>
          <w:rFonts w:hint="eastAsia" w:ascii="宋体" w:hAnsi="宋体"/>
          <w:sz w:val="24"/>
          <w:highlight w:val="none"/>
        </w:rPr>
        <w:t>（3）成交候选供应商无偿赠与或者低于成本价竞争；</w:t>
      </w:r>
    </w:p>
    <w:p w14:paraId="11A77961">
      <w:pPr>
        <w:spacing w:line="360" w:lineRule="auto"/>
        <w:ind w:hanging="15"/>
        <w:rPr>
          <w:rFonts w:ascii="宋体" w:hAnsi="宋体"/>
          <w:sz w:val="24"/>
          <w:highlight w:val="none"/>
        </w:rPr>
      </w:pPr>
      <w:r>
        <w:rPr>
          <w:rFonts w:hint="eastAsia" w:ascii="宋体" w:hAnsi="宋体"/>
          <w:sz w:val="24"/>
          <w:highlight w:val="none"/>
        </w:rPr>
        <w:t>（4）成交候选供应商提供虚假材料；</w:t>
      </w:r>
    </w:p>
    <w:p w14:paraId="1F0492E0">
      <w:pPr>
        <w:spacing w:line="360" w:lineRule="auto"/>
        <w:ind w:hanging="15"/>
        <w:rPr>
          <w:rFonts w:ascii="宋体" w:hAnsi="宋体"/>
          <w:sz w:val="24"/>
          <w:highlight w:val="none"/>
        </w:rPr>
      </w:pPr>
      <w:r>
        <w:rPr>
          <w:rFonts w:hint="eastAsia" w:ascii="宋体" w:hAnsi="宋体"/>
          <w:sz w:val="24"/>
          <w:highlight w:val="none"/>
        </w:rPr>
        <w:t>（5）成交候选供应商恶意串通。</w:t>
      </w:r>
    </w:p>
    <w:p w14:paraId="0D97B72D">
      <w:pPr>
        <w:spacing w:line="360" w:lineRule="auto"/>
        <w:ind w:hanging="15"/>
        <w:rPr>
          <w:highlight w:val="none"/>
        </w:rPr>
      </w:pPr>
      <w:r>
        <w:rPr>
          <w:rFonts w:hint="eastAsia" w:ascii="宋体" w:hAnsi="宋体"/>
          <w:sz w:val="24"/>
          <w:highlight w:val="none"/>
        </w:rPr>
        <w:t>成交候选供应商有本条情形之一的，采购人可以确定后一位成交候选供应商为成交供应商，依次类推。无法确定成交供应商的，应当重新组织采购。</w:t>
      </w:r>
    </w:p>
    <w:p w14:paraId="694EE514">
      <w:pPr>
        <w:spacing w:line="360" w:lineRule="auto"/>
        <w:ind w:hanging="15"/>
        <w:rPr>
          <w:rFonts w:ascii="宋体" w:hAnsi="宋体"/>
          <w:b/>
          <w:bCs/>
          <w:sz w:val="24"/>
          <w:highlight w:val="none"/>
        </w:rPr>
      </w:pPr>
      <w:r>
        <w:rPr>
          <w:rFonts w:hint="eastAsia" w:ascii="宋体" w:hAnsi="宋体"/>
          <w:b/>
          <w:bCs/>
          <w:sz w:val="24"/>
          <w:highlight w:val="none"/>
        </w:rPr>
        <w:t>24.行贿犯罪档案查询</w:t>
      </w:r>
    </w:p>
    <w:p w14:paraId="50DF58C7">
      <w:pPr>
        <w:spacing w:line="360" w:lineRule="auto"/>
        <w:ind w:hanging="15"/>
        <w:rPr>
          <w:rFonts w:ascii="宋体" w:hAnsi="宋体"/>
          <w:sz w:val="24"/>
          <w:highlight w:val="none"/>
        </w:rPr>
      </w:pPr>
      <w:r>
        <w:rPr>
          <w:rFonts w:hint="eastAsia" w:ascii="宋体" w:hAnsi="宋体"/>
          <w:sz w:val="24"/>
          <w:highlight w:val="none"/>
        </w:rPr>
        <w:t>24.1根据《最高人民检察院关于行贿犯罪档案查询工作的规定》和《关于在政府采购活动中全面开展行贿犯罪档案查询的通知》（川检会[2016]5号）的要求，采购人确定成交供应商期间，采购人将有权查询成交候选供应商单位及其现任法定代表人、主要负责人是否存在行贿犯罪记录。</w:t>
      </w:r>
    </w:p>
    <w:p w14:paraId="6887EDAF">
      <w:pPr>
        <w:spacing w:line="360" w:lineRule="auto"/>
        <w:ind w:hanging="15"/>
        <w:rPr>
          <w:rFonts w:ascii="宋体" w:hAnsi="宋体"/>
          <w:sz w:val="24"/>
          <w:highlight w:val="none"/>
        </w:rPr>
      </w:pPr>
      <w:r>
        <w:rPr>
          <w:rFonts w:hint="eastAsia" w:ascii="宋体" w:hAnsi="宋体"/>
          <w:sz w:val="24"/>
          <w:highlight w:val="none"/>
        </w:rPr>
        <w:t>24.2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599DFA3E">
      <w:pPr>
        <w:spacing w:line="360" w:lineRule="auto"/>
        <w:ind w:hanging="15"/>
        <w:rPr>
          <w:rFonts w:ascii="宋体" w:hAnsi="宋体"/>
          <w:b/>
          <w:bCs/>
          <w:sz w:val="24"/>
          <w:highlight w:val="none"/>
        </w:rPr>
      </w:pPr>
      <w:r>
        <w:rPr>
          <w:rFonts w:hint="eastAsia" w:ascii="宋体" w:hAnsi="宋体"/>
          <w:b/>
          <w:bCs/>
          <w:sz w:val="24"/>
          <w:highlight w:val="none"/>
        </w:rPr>
        <w:t>25.成交结果</w:t>
      </w:r>
    </w:p>
    <w:p w14:paraId="3C72C0DE">
      <w:pPr>
        <w:spacing w:line="360" w:lineRule="auto"/>
        <w:ind w:hanging="15"/>
        <w:rPr>
          <w:rFonts w:ascii="宋体" w:hAnsi="宋体"/>
          <w:sz w:val="24"/>
          <w:highlight w:val="none"/>
        </w:rPr>
      </w:pPr>
      <w:r>
        <w:rPr>
          <w:rFonts w:hint="eastAsia" w:ascii="宋体" w:hAnsi="宋体"/>
          <w:sz w:val="24"/>
          <w:highlight w:val="none"/>
        </w:rPr>
        <w:t>25.1采购人确定成交供应商后，将及时发出成交通知书并发布成交结果公告。</w:t>
      </w:r>
    </w:p>
    <w:p w14:paraId="60212361">
      <w:pPr>
        <w:spacing w:line="360" w:lineRule="auto"/>
        <w:ind w:hanging="15"/>
        <w:rPr>
          <w:rFonts w:ascii="宋体" w:hAnsi="宋体"/>
          <w:bCs/>
          <w:sz w:val="24"/>
          <w:highlight w:val="none"/>
        </w:rPr>
      </w:pPr>
      <w:r>
        <w:rPr>
          <w:rFonts w:hint="eastAsia" w:ascii="宋体" w:hAnsi="宋体"/>
          <w:bCs/>
          <w:sz w:val="24"/>
          <w:highlight w:val="none"/>
        </w:rPr>
        <w:t>25.2成交供应商应当及时领取成交通知书。本项目需要交纳履约保证金的，成交供应商应当及时向采购人交纳。</w:t>
      </w:r>
    </w:p>
    <w:p w14:paraId="447BB0B0">
      <w:pPr>
        <w:spacing w:line="360" w:lineRule="auto"/>
        <w:ind w:hanging="15"/>
        <w:rPr>
          <w:rFonts w:ascii="宋体" w:hAnsi="宋体"/>
          <w:bCs/>
          <w:sz w:val="24"/>
          <w:highlight w:val="none"/>
        </w:rPr>
      </w:pPr>
      <w:r>
        <w:rPr>
          <w:rFonts w:hint="eastAsia" w:ascii="宋体" w:hAnsi="宋体"/>
          <w:bCs/>
          <w:sz w:val="24"/>
          <w:highlight w:val="none"/>
        </w:rPr>
        <w:t>25.3成交供应商不能及时领取成交通知书，采购人应当通过邮寄、快递等方式将项目成交通知书送达成交供应商。</w:t>
      </w:r>
    </w:p>
    <w:p w14:paraId="606FF6A8">
      <w:pPr>
        <w:spacing w:line="360" w:lineRule="auto"/>
        <w:ind w:hanging="15"/>
        <w:rPr>
          <w:rFonts w:ascii="宋体" w:hAnsi="宋体"/>
          <w:b/>
          <w:bCs/>
          <w:sz w:val="24"/>
          <w:highlight w:val="none"/>
        </w:rPr>
      </w:pPr>
      <w:r>
        <w:rPr>
          <w:rFonts w:hint="eastAsia" w:ascii="宋体" w:hAnsi="宋体"/>
          <w:b/>
          <w:bCs/>
          <w:sz w:val="24"/>
          <w:highlight w:val="none"/>
        </w:rPr>
        <w:t>26.成交通知书</w:t>
      </w:r>
    </w:p>
    <w:p w14:paraId="5C495C1F">
      <w:pPr>
        <w:spacing w:line="360" w:lineRule="auto"/>
        <w:ind w:hanging="15"/>
        <w:rPr>
          <w:rFonts w:ascii="宋体" w:hAnsi="宋体"/>
          <w:sz w:val="24"/>
          <w:highlight w:val="none"/>
        </w:rPr>
      </w:pPr>
      <w:r>
        <w:rPr>
          <w:rFonts w:hint="eastAsia" w:ascii="宋体" w:hAnsi="宋体"/>
          <w:sz w:val="24"/>
          <w:highlight w:val="none"/>
        </w:rPr>
        <w:t>26.1成交通知书为签订采购合同的依据之一，是合同的有效组成部分。</w:t>
      </w:r>
    </w:p>
    <w:p w14:paraId="7C8F5DD4">
      <w:pPr>
        <w:spacing w:line="360" w:lineRule="auto"/>
        <w:ind w:hanging="15"/>
        <w:rPr>
          <w:rFonts w:ascii="宋体" w:hAnsi="宋体"/>
          <w:sz w:val="24"/>
          <w:highlight w:val="none"/>
        </w:rPr>
      </w:pPr>
      <w:r>
        <w:rPr>
          <w:rFonts w:hint="eastAsia" w:ascii="宋体" w:hAnsi="宋体"/>
          <w:sz w:val="24"/>
          <w:highlight w:val="none"/>
        </w:rPr>
        <w:t>26.2成交通知书对采购人和成交供应商均具有法律效力。成交通知书发出后，采购人无正当理由改变成交结果，或者成交供应商无正当理由放弃成交的，将承担相应的法律责任。</w:t>
      </w:r>
    </w:p>
    <w:p w14:paraId="4165F91F">
      <w:pPr>
        <w:spacing w:line="360" w:lineRule="auto"/>
        <w:ind w:hanging="15"/>
        <w:rPr>
          <w:highlight w:val="none"/>
        </w:rPr>
      </w:pPr>
      <w:r>
        <w:rPr>
          <w:rFonts w:hint="eastAsia" w:ascii="宋体" w:hAnsi="宋体"/>
          <w:sz w:val="24"/>
          <w:highlight w:val="none"/>
        </w:rPr>
        <w:t>26.3成交供应商的响应文件作为无效响应文件处理或者有采购法律法</w:t>
      </w:r>
      <w:r>
        <w:rPr>
          <w:rFonts w:hint="eastAsia" w:ascii="宋体" w:hAnsi="宋体"/>
          <w:sz w:val="24"/>
          <w:highlight w:val="none"/>
          <w:lang w:eastAsia="zh-CN"/>
        </w:rPr>
        <w:t>规和</w:t>
      </w:r>
      <w:r>
        <w:rPr>
          <w:rFonts w:hint="eastAsia" w:ascii="宋体" w:hAnsi="宋体"/>
          <w:sz w:val="24"/>
          <w:highlight w:val="none"/>
        </w:rPr>
        <w:t>规章制度规定的成交无效情形的，采购人在取得有权主体的认定以后，有权宣布发出的成交通知书无效，并收回发出的成交通知书，依法重新确定成交供应商或者重新开展采购活动。</w:t>
      </w:r>
    </w:p>
    <w:p w14:paraId="2F2AFE9B">
      <w:pPr>
        <w:pStyle w:val="6"/>
        <w:keepNext w:val="0"/>
        <w:keepLines w:val="0"/>
        <w:spacing w:line="360" w:lineRule="auto"/>
        <w:ind w:hanging="15"/>
        <w:jc w:val="center"/>
        <w:rPr>
          <w:highlight w:val="none"/>
        </w:rPr>
      </w:pPr>
      <w:bookmarkStart w:id="475" w:name="_Toc10893"/>
      <w:bookmarkStart w:id="476" w:name="_Toc28788"/>
      <w:bookmarkStart w:id="477" w:name="_Toc25327"/>
      <w:bookmarkStart w:id="478" w:name="_Toc3788"/>
      <w:bookmarkStart w:id="479" w:name="_Toc16586"/>
      <w:bookmarkStart w:id="480" w:name="_Toc11293"/>
      <w:bookmarkStart w:id="481" w:name="_Toc15907"/>
      <w:bookmarkStart w:id="482" w:name="_Toc26309"/>
      <w:bookmarkStart w:id="483" w:name="_Toc1378"/>
      <w:bookmarkStart w:id="484" w:name="_Toc27829"/>
      <w:bookmarkStart w:id="485" w:name="_Toc2280"/>
      <w:bookmarkStart w:id="486" w:name="_Toc20400"/>
      <w:bookmarkStart w:id="487" w:name="_Toc21954"/>
      <w:bookmarkStart w:id="488" w:name="_Toc19083"/>
      <w:bookmarkStart w:id="489" w:name="_Toc17312"/>
      <w:bookmarkStart w:id="490" w:name="_Toc27399"/>
      <w:bookmarkStart w:id="491" w:name="_Toc17629"/>
      <w:bookmarkStart w:id="492" w:name="_Toc29141"/>
      <w:bookmarkStart w:id="493" w:name="_Toc17500"/>
      <w:bookmarkStart w:id="494" w:name="_Toc9935"/>
      <w:bookmarkStart w:id="495" w:name="_Toc31082"/>
      <w:r>
        <w:rPr>
          <w:rFonts w:hint="eastAsia"/>
          <w:highlight w:val="none"/>
        </w:rPr>
        <w:t>七、合同事项</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54A4C746">
      <w:pPr>
        <w:spacing w:line="360" w:lineRule="auto"/>
        <w:ind w:hanging="15"/>
        <w:rPr>
          <w:rFonts w:ascii="宋体" w:hAnsi="宋体"/>
          <w:sz w:val="24"/>
          <w:highlight w:val="none"/>
        </w:rPr>
      </w:pPr>
      <w:bookmarkStart w:id="496" w:name="_Toc101174151"/>
      <w:bookmarkStart w:id="497" w:name="_Toc430773927"/>
      <w:bookmarkStart w:id="498" w:name="_Toc101338364"/>
      <w:bookmarkStart w:id="499" w:name="_Toc101250646"/>
      <w:bookmarkStart w:id="500" w:name="_Toc209847069"/>
      <w:r>
        <w:rPr>
          <w:rFonts w:hint="eastAsia" w:ascii="宋体" w:hAnsi="宋体"/>
          <w:sz w:val="24"/>
          <w:highlight w:val="none"/>
        </w:rPr>
        <w:t>27.签订合同</w:t>
      </w:r>
      <w:bookmarkEnd w:id="496"/>
      <w:bookmarkEnd w:id="497"/>
      <w:bookmarkEnd w:id="498"/>
      <w:bookmarkEnd w:id="499"/>
      <w:bookmarkEnd w:id="500"/>
    </w:p>
    <w:p w14:paraId="6858D2B9">
      <w:pPr>
        <w:spacing w:line="360" w:lineRule="auto"/>
        <w:ind w:hanging="15"/>
        <w:rPr>
          <w:rFonts w:ascii="宋体" w:hAnsi="宋体"/>
          <w:sz w:val="24"/>
          <w:highlight w:val="none"/>
        </w:rPr>
      </w:pPr>
      <w:r>
        <w:rPr>
          <w:rFonts w:hint="eastAsia" w:ascii="宋体" w:hAnsi="宋体"/>
          <w:sz w:val="24"/>
          <w:highlight w:val="none"/>
        </w:rPr>
        <w:t>27.1成交供应商应在成交通知书发出之日起</w:t>
      </w:r>
      <w:r>
        <w:rPr>
          <w:rFonts w:hint="eastAsia" w:ascii="宋体" w:hAnsi="宋体"/>
          <w:b/>
          <w:bCs/>
          <w:sz w:val="24"/>
          <w:highlight w:val="none"/>
        </w:rPr>
        <w:t>十五日内</w:t>
      </w:r>
      <w:r>
        <w:rPr>
          <w:rFonts w:hint="eastAsia" w:ascii="宋体" w:hAnsi="宋体"/>
          <w:sz w:val="24"/>
          <w:highlight w:val="none"/>
        </w:rPr>
        <w:t>与采购人签订采购合同。由于成交供应商的原因逾期未与采购人签订采购合同的，将视为放弃成交，取消其成交资格并将按相关规定进行处理。</w:t>
      </w:r>
    </w:p>
    <w:p w14:paraId="73B0CCD0">
      <w:pPr>
        <w:spacing w:line="360" w:lineRule="auto"/>
        <w:ind w:hanging="15"/>
        <w:rPr>
          <w:rFonts w:ascii="宋体" w:hAnsi="宋体"/>
          <w:sz w:val="24"/>
          <w:highlight w:val="none"/>
        </w:rPr>
      </w:pPr>
      <w:r>
        <w:rPr>
          <w:rFonts w:hint="eastAsia" w:ascii="宋体" w:hAnsi="宋体"/>
          <w:sz w:val="24"/>
          <w:highlight w:val="none"/>
        </w:rPr>
        <w:t>27.2磋商文件、成交供应商的响应文件及双方确认的澄清文件等，均为有法律约束力的合同组成部分。</w:t>
      </w:r>
    </w:p>
    <w:p w14:paraId="16385516">
      <w:pPr>
        <w:spacing w:line="360" w:lineRule="auto"/>
        <w:ind w:hanging="15"/>
        <w:rPr>
          <w:rFonts w:ascii="宋体" w:hAnsi="宋体"/>
          <w:sz w:val="24"/>
          <w:highlight w:val="none"/>
        </w:rPr>
      </w:pPr>
      <w:r>
        <w:rPr>
          <w:rFonts w:hint="eastAsia" w:ascii="宋体" w:hAnsi="宋体"/>
          <w:sz w:val="24"/>
          <w:highlight w:val="none"/>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B47882D">
      <w:pPr>
        <w:spacing w:line="360" w:lineRule="auto"/>
        <w:ind w:hanging="15"/>
        <w:rPr>
          <w:rFonts w:ascii="宋体" w:hAnsi="宋体"/>
          <w:sz w:val="24"/>
          <w:highlight w:val="none"/>
        </w:rPr>
      </w:pPr>
      <w:r>
        <w:rPr>
          <w:rFonts w:hint="eastAsia" w:ascii="宋体" w:hAnsi="宋体"/>
          <w:sz w:val="24"/>
          <w:highlight w:val="none"/>
        </w:rPr>
        <w:t>27.4成交供应商因不可抗力原因不能履行采购合同或放弃成交的，采购人可以与排在成交供应商之后第一位的成交候选人签订采购合同，以此类推。</w:t>
      </w:r>
    </w:p>
    <w:p w14:paraId="4EC121DE">
      <w:pPr>
        <w:spacing w:line="360" w:lineRule="auto"/>
        <w:ind w:hanging="15"/>
        <w:rPr>
          <w:rFonts w:hAnsi="宋体"/>
          <w:sz w:val="24"/>
          <w:highlight w:val="none"/>
        </w:rPr>
      </w:pPr>
      <w:r>
        <w:rPr>
          <w:rFonts w:hint="eastAsia" w:ascii="宋体" w:hAnsi="宋体"/>
          <w:sz w:val="24"/>
          <w:highlight w:val="none"/>
        </w:rPr>
        <w:t>27.5</w:t>
      </w:r>
      <w:r>
        <w:rPr>
          <w:rFonts w:hint="eastAsia" w:hAnsi="宋体"/>
          <w:sz w:val="24"/>
          <w:highlight w:val="none"/>
        </w:rPr>
        <w:t>竞争性磋商文件、成交供应商提交的响应文件、磋商中的最后报价、成交供应商承诺书、成交通知书等均</w:t>
      </w:r>
      <w:r>
        <w:rPr>
          <w:rFonts w:hint="eastAsia" w:hAnsi="宋体"/>
          <w:sz w:val="24"/>
          <w:highlight w:val="none"/>
          <w:lang w:eastAsia="zh-CN"/>
        </w:rPr>
        <w:t>成为</w:t>
      </w:r>
      <w:r>
        <w:rPr>
          <w:rFonts w:hint="eastAsia" w:hAnsi="宋体"/>
          <w:sz w:val="24"/>
          <w:highlight w:val="none"/>
        </w:rPr>
        <w:t>有法律约束力的合同组成内容。</w:t>
      </w:r>
    </w:p>
    <w:p w14:paraId="55AF24E7">
      <w:pPr>
        <w:spacing w:line="360" w:lineRule="auto"/>
        <w:ind w:hanging="15"/>
        <w:rPr>
          <w:rFonts w:ascii="宋体" w:hAnsi="宋体"/>
          <w:b/>
          <w:sz w:val="24"/>
          <w:highlight w:val="none"/>
        </w:rPr>
      </w:pPr>
      <w:r>
        <w:rPr>
          <w:rFonts w:hint="eastAsia" w:ascii="宋体" w:hAnsi="宋体"/>
          <w:b/>
          <w:sz w:val="24"/>
          <w:highlight w:val="none"/>
        </w:rPr>
        <w:t>28.合同分包（实质性要求）</w:t>
      </w:r>
    </w:p>
    <w:p w14:paraId="6A41C872">
      <w:pPr>
        <w:spacing w:line="360" w:lineRule="auto"/>
        <w:ind w:hanging="15"/>
        <w:rPr>
          <w:rFonts w:ascii="宋体" w:hAnsi="宋体"/>
          <w:sz w:val="24"/>
          <w:highlight w:val="none"/>
        </w:rPr>
      </w:pPr>
      <w:r>
        <w:rPr>
          <w:rFonts w:hint="eastAsia" w:ascii="宋体" w:hAnsi="宋体"/>
          <w:sz w:val="24"/>
          <w:highlight w:val="none"/>
        </w:rPr>
        <w:t>28.1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687F6B50">
      <w:pPr>
        <w:spacing w:line="360" w:lineRule="auto"/>
        <w:ind w:hanging="15"/>
        <w:rPr>
          <w:rFonts w:ascii="宋体" w:hAnsi="宋体"/>
          <w:sz w:val="24"/>
          <w:highlight w:val="none"/>
        </w:rPr>
      </w:pPr>
      <w:r>
        <w:rPr>
          <w:rFonts w:hint="eastAsia" w:ascii="宋体" w:hAnsi="宋体"/>
          <w:sz w:val="24"/>
          <w:highlight w:val="none"/>
        </w:rPr>
        <w:t>分包履行合同的部分应当为采购项目的非主体、非关键性工作，不属于成交供应商的主要合同义务。</w:t>
      </w:r>
    </w:p>
    <w:p w14:paraId="4C63B056">
      <w:pPr>
        <w:spacing w:line="360" w:lineRule="auto"/>
        <w:ind w:hanging="15"/>
        <w:rPr>
          <w:rFonts w:hAnsi="宋体"/>
          <w:sz w:val="24"/>
          <w:highlight w:val="none"/>
        </w:rPr>
      </w:pPr>
      <w:r>
        <w:rPr>
          <w:rFonts w:hint="eastAsia" w:ascii="宋体" w:hAnsi="宋体"/>
          <w:sz w:val="24"/>
          <w:highlight w:val="none"/>
        </w:rPr>
        <w:t>28.2采购合同实行分包履行的，成交供应商就采购项目和分包项目向采购人负责，分包供应商就分包项目承担责任。</w:t>
      </w:r>
    </w:p>
    <w:p w14:paraId="7B7DD3AD">
      <w:pPr>
        <w:spacing w:line="360" w:lineRule="auto"/>
        <w:ind w:hanging="15"/>
        <w:rPr>
          <w:rFonts w:ascii="宋体" w:hAnsi="宋体"/>
          <w:b/>
          <w:sz w:val="24"/>
          <w:highlight w:val="none"/>
        </w:rPr>
      </w:pPr>
      <w:r>
        <w:rPr>
          <w:rFonts w:hint="eastAsia" w:ascii="宋体" w:hAnsi="宋体"/>
          <w:b/>
          <w:sz w:val="24"/>
          <w:highlight w:val="none"/>
        </w:rPr>
        <w:t>29.合同转包（实质性要求）</w:t>
      </w:r>
    </w:p>
    <w:p w14:paraId="5CF4B124">
      <w:pPr>
        <w:spacing w:line="360" w:lineRule="auto"/>
        <w:ind w:hanging="15"/>
        <w:rPr>
          <w:rFonts w:hAnsi="宋体"/>
          <w:sz w:val="24"/>
          <w:highlight w:val="none"/>
        </w:rPr>
      </w:pPr>
      <w:r>
        <w:rPr>
          <w:rFonts w:hint="eastAsia" w:hAnsi="宋体"/>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FF18FD2">
      <w:pPr>
        <w:spacing w:line="360" w:lineRule="auto"/>
        <w:ind w:hanging="15"/>
        <w:rPr>
          <w:rFonts w:hAnsi="宋体"/>
          <w:sz w:val="24"/>
          <w:highlight w:val="none"/>
        </w:rPr>
      </w:pPr>
      <w:r>
        <w:rPr>
          <w:rFonts w:hint="eastAsia" w:hAnsi="宋体"/>
          <w:sz w:val="24"/>
          <w:highlight w:val="none"/>
        </w:rPr>
        <w:t>成交供应商转包的，视同拒绝履行采购合同义务，将依法追究法律责任。</w:t>
      </w:r>
    </w:p>
    <w:p w14:paraId="7DDCD2C7">
      <w:pPr>
        <w:spacing w:line="360" w:lineRule="auto"/>
        <w:ind w:hanging="15"/>
        <w:rPr>
          <w:rFonts w:ascii="宋体" w:hAnsi="宋体"/>
          <w:b/>
          <w:sz w:val="24"/>
          <w:highlight w:val="none"/>
        </w:rPr>
      </w:pPr>
      <w:r>
        <w:rPr>
          <w:rFonts w:hint="eastAsia" w:ascii="宋体" w:hAnsi="宋体"/>
          <w:b/>
          <w:sz w:val="24"/>
          <w:highlight w:val="none"/>
        </w:rPr>
        <w:t>30.补充合同</w:t>
      </w:r>
    </w:p>
    <w:p w14:paraId="5905ED90">
      <w:pPr>
        <w:spacing w:line="360" w:lineRule="auto"/>
        <w:ind w:hanging="15"/>
        <w:rPr>
          <w:rFonts w:hAnsi="宋体"/>
          <w:sz w:val="24"/>
          <w:highlight w:val="none"/>
        </w:rPr>
      </w:pPr>
      <w:r>
        <w:rPr>
          <w:rFonts w:hint="eastAsia" w:hAnsi="宋体"/>
          <w:sz w:val="24"/>
          <w:highlight w:val="none"/>
        </w:rPr>
        <w:t>采购合同履行过程中，采购人需要追加与合同标的相同的货物或者服务的，在不改变合同其他条款的前提下，可以与成交供应商协商签订补充合同该补充合同应当在原采购合同履行过程中，不得在原采购合同履行结束后，且采购货物、工程和服务的名称、价格、履约方式、验收标准等必须与原采购合同一致。</w:t>
      </w:r>
    </w:p>
    <w:p w14:paraId="73506D24">
      <w:pPr>
        <w:spacing w:line="360" w:lineRule="auto"/>
        <w:ind w:hanging="15"/>
        <w:rPr>
          <w:rFonts w:hAnsi="宋体"/>
          <w:sz w:val="24"/>
          <w:highlight w:val="none"/>
        </w:rPr>
      </w:pPr>
    </w:p>
    <w:p w14:paraId="088CC93C">
      <w:pPr>
        <w:spacing w:line="360" w:lineRule="auto"/>
        <w:ind w:hanging="15"/>
        <w:rPr>
          <w:rFonts w:ascii="宋体" w:hAnsi="宋体"/>
          <w:b/>
          <w:sz w:val="24"/>
          <w:highlight w:val="none"/>
        </w:rPr>
      </w:pPr>
      <w:r>
        <w:rPr>
          <w:rFonts w:hint="eastAsia" w:ascii="宋体" w:hAnsi="宋体"/>
          <w:b/>
          <w:sz w:val="24"/>
          <w:highlight w:val="none"/>
        </w:rPr>
        <w:t>31.履约保证金（实质性要求）</w:t>
      </w:r>
    </w:p>
    <w:p w14:paraId="27F12ECB">
      <w:pPr>
        <w:spacing w:line="360" w:lineRule="auto"/>
        <w:ind w:hanging="15"/>
        <w:rPr>
          <w:rFonts w:ascii="宋体" w:hAnsi="宋体"/>
          <w:sz w:val="24"/>
          <w:highlight w:val="none"/>
        </w:rPr>
      </w:pPr>
      <w:r>
        <w:rPr>
          <w:rFonts w:hint="eastAsia" w:ascii="宋体" w:hAnsi="宋体"/>
          <w:sz w:val="24"/>
          <w:highlight w:val="none"/>
        </w:rPr>
        <w:t>31.1成交供应商应在合同签订之前交纳采购文件规定数额的履约保证金。</w:t>
      </w:r>
    </w:p>
    <w:p w14:paraId="4EC6599B">
      <w:pPr>
        <w:spacing w:line="360" w:lineRule="auto"/>
        <w:ind w:hanging="15"/>
        <w:rPr>
          <w:rFonts w:hAnsi="宋体"/>
          <w:sz w:val="24"/>
          <w:highlight w:val="none"/>
        </w:rPr>
      </w:pPr>
      <w:r>
        <w:rPr>
          <w:rFonts w:hint="eastAsia" w:ascii="宋体" w:hAnsi="宋体"/>
          <w:sz w:val="24"/>
          <w:highlight w:val="none"/>
        </w:rPr>
        <w:t>31.2如果成交供应商在规定的合同签订时间内，没有按照采购文件的规定交纳履约保证金，且又无</w:t>
      </w:r>
      <w:r>
        <w:rPr>
          <w:rFonts w:hint="eastAsia" w:hAnsi="宋体"/>
          <w:sz w:val="24"/>
          <w:highlight w:val="none"/>
        </w:rPr>
        <w:t>正当理由的，将视为放弃成交。</w:t>
      </w:r>
    </w:p>
    <w:p w14:paraId="5426C9A9">
      <w:pPr>
        <w:spacing w:line="360" w:lineRule="auto"/>
        <w:ind w:hanging="15"/>
        <w:rPr>
          <w:rFonts w:ascii="宋体" w:hAnsi="宋体"/>
          <w:b/>
          <w:sz w:val="24"/>
          <w:highlight w:val="none"/>
        </w:rPr>
      </w:pPr>
      <w:r>
        <w:rPr>
          <w:rFonts w:hint="eastAsia" w:ascii="宋体" w:hAnsi="宋体"/>
          <w:b/>
          <w:sz w:val="24"/>
          <w:highlight w:val="none"/>
        </w:rPr>
        <w:t>32.履行合同</w:t>
      </w:r>
    </w:p>
    <w:p w14:paraId="25D692A7">
      <w:pPr>
        <w:spacing w:line="360" w:lineRule="auto"/>
        <w:ind w:hanging="15"/>
        <w:rPr>
          <w:rFonts w:ascii="宋体" w:hAnsi="宋体"/>
          <w:sz w:val="24"/>
          <w:highlight w:val="none"/>
        </w:rPr>
      </w:pPr>
      <w:r>
        <w:rPr>
          <w:rFonts w:hint="eastAsia" w:ascii="宋体" w:hAnsi="宋体"/>
          <w:sz w:val="24"/>
          <w:highlight w:val="none"/>
        </w:rPr>
        <w:t>32.1成交供应商与采购人签订合同后，合同双方应严格执行合同条款，履行合同规定的义务，保证合同的顺利完成。</w:t>
      </w:r>
    </w:p>
    <w:p w14:paraId="64A95C56">
      <w:pPr>
        <w:spacing w:line="360" w:lineRule="auto"/>
        <w:ind w:hanging="15"/>
        <w:rPr>
          <w:rFonts w:hAnsi="宋体"/>
          <w:sz w:val="24"/>
          <w:highlight w:val="none"/>
        </w:rPr>
      </w:pPr>
      <w:r>
        <w:rPr>
          <w:rFonts w:hint="eastAsia" w:ascii="宋体" w:hAnsi="宋体"/>
          <w:sz w:val="24"/>
          <w:highlight w:val="none"/>
        </w:rPr>
        <w:t>32.2在</w:t>
      </w:r>
      <w:r>
        <w:rPr>
          <w:rFonts w:hint="eastAsia" w:hAnsi="宋体"/>
          <w:sz w:val="24"/>
          <w:highlight w:val="none"/>
        </w:rPr>
        <w:t>合同履行过程中，如发生合同纠纷，合同双方应按照《民典法》的有关规定进行处理。</w:t>
      </w:r>
    </w:p>
    <w:p w14:paraId="48D7AC44">
      <w:pPr>
        <w:spacing w:line="360" w:lineRule="auto"/>
        <w:ind w:hanging="15"/>
        <w:rPr>
          <w:rFonts w:hAnsi="宋体"/>
          <w:sz w:val="24"/>
          <w:highlight w:val="none"/>
        </w:rPr>
      </w:pPr>
    </w:p>
    <w:p w14:paraId="2AD0F9FE">
      <w:pPr>
        <w:spacing w:line="360" w:lineRule="auto"/>
        <w:ind w:hanging="15"/>
        <w:rPr>
          <w:rFonts w:ascii="宋体" w:hAnsi="宋体"/>
          <w:b/>
          <w:sz w:val="24"/>
          <w:highlight w:val="none"/>
        </w:rPr>
      </w:pPr>
      <w:r>
        <w:rPr>
          <w:rFonts w:hint="eastAsia" w:ascii="宋体" w:hAnsi="宋体"/>
          <w:b/>
          <w:sz w:val="24"/>
          <w:highlight w:val="none"/>
        </w:rPr>
        <w:t>33.验收</w:t>
      </w:r>
    </w:p>
    <w:p w14:paraId="1F3BA879">
      <w:pPr>
        <w:spacing w:line="360" w:lineRule="auto"/>
        <w:ind w:hanging="15"/>
        <w:rPr>
          <w:rFonts w:ascii="宋体" w:hAnsi="宋体"/>
          <w:sz w:val="24"/>
          <w:highlight w:val="none"/>
        </w:rPr>
      </w:pPr>
      <w:r>
        <w:rPr>
          <w:rFonts w:hint="eastAsia" w:ascii="宋体" w:hAnsi="宋体"/>
          <w:sz w:val="24"/>
          <w:highlight w:val="none"/>
        </w:rPr>
        <w:t>33.1本项目采购人将参照政府采购相关法律法规以及《四川省政府采购项目需求论证和履约验收管理办法》（川财采〔2015〕32号）的要求进行验收。</w:t>
      </w:r>
    </w:p>
    <w:p w14:paraId="59242F01">
      <w:pPr>
        <w:spacing w:line="360" w:lineRule="auto"/>
        <w:ind w:hanging="15"/>
        <w:rPr>
          <w:rFonts w:hAnsi="宋体"/>
          <w:sz w:val="24"/>
          <w:highlight w:val="none"/>
        </w:rPr>
      </w:pPr>
      <w:r>
        <w:rPr>
          <w:rFonts w:hint="eastAsia" w:ascii="宋体" w:hAnsi="宋体"/>
          <w:sz w:val="24"/>
          <w:highlight w:val="none"/>
        </w:rPr>
        <w:t>34.2验收结果合格的，成交供应商凭</w:t>
      </w:r>
      <w:r>
        <w:rPr>
          <w:rFonts w:hint="eastAsia" w:ascii="宋体" w:hAnsi="宋体"/>
          <w:b/>
          <w:bCs/>
          <w:sz w:val="24"/>
          <w:highlight w:val="none"/>
        </w:rPr>
        <w:t>竣工验收报告</w:t>
      </w:r>
      <w:r>
        <w:rPr>
          <w:rFonts w:hint="eastAsia" w:ascii="宋体" w:hAnsi="宋体"/>
          <w:sz w:val="24"/>
          <w:highlight w:val="none"/>
        </w:rPr>
        <w:t>到</w:t>
      </w:r>
      <w:r>
        <w:rPr>
          <w:rFonts w:hint="eastAsia" w:ascii="宋体" w:hAnsi="宋体"/>
          <w:b/>
          <w:bCs/>
          <w:sz w:val="24"/>
          <w:highlight w:val="none"/>
          <w:lang w:val="zh-CN"/>
        </w:rPr>
        <w:t>采购人处</w:t>
      </w:r>
      <w:r>
        <w:rPr>
          <w:rFonts w:hint="eastAsia" w:ascii="宋体" w:hAnsi="宋体"/>
          <w:sz w:val="24"/>
          <w:highlight w:val="none"/>
        </w:rPr>
        <w:t>办理履约保证金的退付手续；验收结果不合格的，履约保证金将不予退还，也将不予支付采购资金，还可能会报主管部门参照政府采</w:t>
      </w:r>
      <w:r>
        <w:rPr>
          <w:rFonts w:hint="eastAsia" w:hAnsi="宋体"/>
          <w:sz w:val="24"/>
          <w:highlight w:val="none"/>
        </w:rPr>
        <w:t>购法律法规及《四川省政府采购当事人诚信管理办法》（川财采〔2015〕33号）等有关规定给予行政处罚或者以失信行为记入诚信档案。</w:t>
      </w:r>
    </w:p>
    <w:p w14:paraId="037613EF">
      <w:pPr>
        <w:spacing w:line="360" w:lineRule="auto"/>
        <w:ind w:hanging="15"/>
        <w:rPr>
          <w:rFonts w:hAnsi="宋体"/>
          <w:sz w:val="24"/>
          <w:highlight w:val="none"/>
        </w:rPr>
      </w:pPr>
    </w:p>
    <w:p w14:paraId="0A2B8954">
      <w:pPr>
        <w:spacing w:line="360" w:lineRule="auto"/>
        <w:ind w:hanging="15"/>
        <w:rPr>
          <w:rFonts w:ascii="宋体" w:hAnsi="宋体"/>
          <w:b/>
          <w:sz w:val="24"/>
          <w:highlight w:val="none"/>
        </w:rPr>
      </w:pPr>
      <w:r>
        <w:rPr>
          <w:rFonts w:hint="eastAsia" w:ascii="宋体" w:hAnsi="宋体"/>
          <w:b/>
          <w:sz w:val="24"/>
          <w:highlight w:val="none"/>
        </w:rPr>
        <w:t>35.资金支付</w:t>
      </w:r>
    </w:p>
    <w:p w14:paraId="0A92FD74">
      <w:pPr>
        <w:spacing w:line="360" w:lineRule="auto"/>
        <w:ind w:hanging="15"/>
        <w:rPr>
          <w:rFonts w:hAnsi="宋体"/>
          <w:sz w:val="24"/>
          <w:highlight w:val="none"/>
        </w:rPr>
      </w:pPr>
      <w:r>
        <w:rPr>
          <w:rFonts w:hint="eastAsia" w:hAnsi="宋体"/>
          <w:sz w:val="24"/>
          <w:highlight w:val="none"/>
        </w:rPr>
        <w:t>采购人将按照采购合同规定，及时向成交供应商支付采购资金，参照合同条款具体规定。</w:t>
      </w:r>
    </w:p>
    <w:p w14:paraId="0E2E5499">
      <w:pPr>
        <w:spacing w:line="360" w:lineRule="auto"/>
        <w:ind w:hanging="15"/>
        <w:rPr>
          <w:rFonts w:hAnsi="宋体"/>
          <w:sz w:val="24"/>
          <w:highlight w:val="none"/>
        </w:rPr>
      </w:pPr>
    </w:p>
    <w:p w14:paraId="3A2C084E">
      <w:pPr>
        <w:pStyle w:val="6"/>
        <w:keepNext w:val="0"/>
        <w:keepLines w:val="0"/>
        <w:spacing w:line="360" w:lineRule="auto"/>
        <w:ind w:hanging="15"/>
        <w:jc w:val="center"/>
        <w:rPr>
          <w:highlight w:val="none"/>
        </w:rPr>
      </w:pPr>
      <w:bookmarkStart w:id="501" w:name="_Toc1802"/>
      <w:bookmarkStart w:id="502" w:name="_Toc18213"/>
      <w:bookmarkStart w:id="503" w:name="_Toc19283"/>
      <w:bookmarkStart w:id="504" w:name="_Toc22100"/>
      <w:bookmarkStart w:id="505" w:name="_Toc9609"/>
      <w:bookmarkStart w:id="506" w:name="_Toc15432"/>
      <w:bookmarkStart w:id="507" w:name="_Toc21239"/>
      <w:bookmarkStart w:id="508" w:name="_Toc12228"/>
      <w:bookmarkStart w:id="509" w:name="_Toc7953"/>
      <w:bookmarkStart w:id="510" w:name="_Toc12666"/>
      <w:bookmarkStart w:id="511" w:name="_Toc6898"/>
      <w:bookmarkStart w:id="512" w:name="_Toc23214"/>
      <w:bookmarkStart w:id="513" w:name="_Toc2933"/>
      <w:bookmarkStart w:id="514" w:name="_Toc2147"/>
      <w:bookmarkStart w:id="515" w:name="_Toc31873"/>
      <w:bookmarkStart w:id="516" w:name="_Toc473"/>
      <w:bookmarkStart w:id="517" w:name="_Toc29640"/>
      <w:bookmarkStart w:id="518" w:name="_Toc5175"/>
      <w:bookmarkStart w:id="519" w:name="_Toc21079"/>
      <w:bookmarkStart w:id="520" w:name="_Toc8010"/>
      <w:bookmarkStart w:id="521" w:name="_Toc6913"/>
      <w:bookmarkStart w:id="522" w:name="_Toc12767"/>
      <w:r>
        <w:rPr>
          <w:rFonts w:hint="eastAsia"/>
          <w:highlight w:val="none"/>
        </w:rPr>
        <w:t>八、磋商纪律要求</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74D9BC1">
      <w:pPr>
        <w:tabs>
          <w:tab w:val="left" w:pos="851"/>
        </w:tabs>
        <w:spacing w:line="360" w:lineRule="auto"/>
        <w:ind w:hanging="15"/>
        <w:jc w:val="center"/>
        <w:rPr>
          <w:rFonts w:ascii="宋体" w:hAnsi="宋体"/>
          <w:sz w:val="24"/>
          <w:highlight w:val="none"/>
        </w:rPr>
      </w:pPr>
    </w:p>
    <w:p w14:paraId="447543EE">
      <w:pPr>
        <w:tabs>
          <w:tab w:val="left" w:pos="851"/>
        </w:tabs>
        <w:spacing w:line="360" w:lineRule="auto"/>
        <w:ind w:hanging="15"/>
        <w:rPr>
          <w:rFonts w:ascii="宋体" w:hAnsi="宋体"/>
          <w:b/>
          <w:sz w:val="24"/>
          <w:highlight w:val="none"/>
        </w:rPr>
      </w:pPr>
      <w:r>
        <w:rPr>
          <w:rFonts w:hint="eastAsia" w:ascii="宋体" w:hAnsi="宋体"/>
          <w:b/>
          <w:sz w:val="24"/>
          <w:highlight w:val="none"/>
        </w:rPr>
        <w:t>36.供应商不得具有的情形</w:t>
      </w:r>
    </w:p>
    <w:p w14:paraId="6C19340C">
      <w:pPr>
        <w:tabs>
          <w:tab w:val="left" w:pos="851"/>
        </w:tabs>
        <w:spacing w:line="360" w:lineRule="auto"/>
        <w:ind w:hanging="15"/>
        <w:rPr>
          <w:rFonts w:hAnsi="宋体"/>
          <w:sz w:val="24"/>
          <w:highlight w:val="none"/>
        </w:rPr>
      </w:pPr>
      <w:r>
        <w:rPr>
          <w:rFonts w:hint="eastAsia" w:hAnsi="宋体"/>
          <w:sz w:val="24"/>
          <w:highlight w:val="none"/>
        </w:rPr>
        <w:t>供应商参加本项目磋商不得有下列情形：</w:t>
      </w:r>
    </w:p>
    <w:p w14:paraId="22DB73BE">
      <w:pPr>
        <w:tabs>
          <w:tab w:val="left" w:pos="851"/>
        </w:tabs>
        <w:spacing w:line="360" w:lineRule="auto"/>
        <w:ind w:hanging="15"/>
        <w:rPr>
          <w:rFonts w:hAnsi="宋体"/>
          <w:sz w:val="24"/>
          <w:highlight w:val="none"/>
        </w:rPr>
      </w:pPr>
      <w:r>
        <w:rPr>
          <w:rFonts w:hint="eastAsia" w:hAnsi="宋体"/>
          <w:sz w:val="24"/>
          <w:highlight w:val="none"/>
        </w:rPr>
        <w:t>（1）提供虚假材料谋取成交；</w:t>
      </w:r>
    </w:p>
    <w:p w14:paraId="26390508">
      <w:pPr>
        <w:tabs>
          <w:tab w:val="left" w:pos="851"/>
        </w:tabs>
        <w:spacing w:line="360" w:lineRule="auto"/>
        <w:ind w:hanging="15"/>
        <w:rPr>
          <w:rFonts w:hAnsi="宋体"/>
          <w:sz w:val="24"/>
          <w:highlight w:val="none"/>
        </w:rPr>
      </w:pPr>
      <w:r>
        <w:rPr>
          <w:rFonts w:hint="eastAsia" w:hAnsi="宋体"/>
          <w:sz w:val="24"/>
          <w:highlight w:val="none"/>
        </w:rPr>
        <w:t>（2）采取不正当手段诋毁、排挤其他供应商；</w:t>
      </w:r>
    </w:p>
    <w:p w14:paraId="75B4F3B7">
      <w:pPr>
        <w:tabs>
          <w:tab w:val="left" w:pos="851"/>
        </w:tabs>
        <w:spacing w:line="360" w:lineRule="auto"/>
        <w:ind w:hanging="15"/>
        <w:rPr>
          <w:rFonts w:hAnsi="宋体"/>
          <w:sz w:val="24"/>
          <w:highlight w:val="none"/>
        </w:rPr>
      </w:pPr>
      <w:r>
        <w:rPr>
          <w:rFonts w:hint="eastAsia" w:hAnsi="宋体"/>
          <w:sz w:val="24"/>
          <w:highlight w:val="none"/>
        </w:rPr>
        <w:t>（3）与采购人或其他供应商恶意串通；</w:t>
      </w:r>
    </w:p>
    <w:p w14:paraId="4D6B5221">
      <w:pPr>
        <w:tabs>
          <w:tab w:val="left" w:pos="851"/>
        </w:tabs>
        <w:spacing w:line="360" w:lineRule="auto"/>
        <w:ind w:hanging="15"/>
        <w:rPr>
          <w:rFonts w:hAnsi="宋体"/>
          <w:sz w:val="24"/>
          <w:highlight w:val="none"/>
        </w:rPr>
      </w:pPr>
      <w:r>
        <w:rPr>
          <w:rFonts w:hint="eastAsia" w:hAnsi="宋体"/>
          <w:sz w:val="24"/>
          <w:highlight w:val="none"/>
        </w:rPr>
        <w:t>（4）向采购人、磋商小组成员行贿或者提供其他不正当利益；</w:t>
      </w:r>
    </w:p>
    <w:p w14:paraId="4801FF8E">
      <w:pPr>
        <w:tabs>
          <w:tab w:val="left" w:pos="851"/>
        </w:tabs>
        <w:spacing w:line="360" w:lineRule="auto"/>
        <w:ind w:hanging="15"/>
        <w:rPr>
          <w:rFonts w:hAnsi="宋体"/>
          <w:sz w:val="24"/>
          <w:highlight w:val="none"/>
        </w:rPr>
      </w:pPr>
      <w:r>
        <w:rPr>
          <w:rFonts w:hint="eastAsia" w:hAnsi="宋体"/>
          <w:sz w:val="24"/>
          <w:highlight w:val="none"/>
        </w:rPr>
        <w:t>（5）成交后无正当理由拒不与采购人签订采购合同；</w:t>
      </w:r>
    </w:p>
    <w:p w14:paraId="644366A1">
      <w:pPr>
        <w:tabs>
          <w:tab w:val="left" w:pos="851"/>
        </w:tabs>
        <w:spacing w:line="360" w:lineRule="auto"/>
        <w:ind w:hanging="15"/>
        <w:rPr>
          <w:rFonts w:hAnsi="宋体"/>
          <w:sz w:val="24"/>
          <w:highlight w:val="none"/>
        </w:rPr>
      </w:pPr>
      <w:r>
        <w:rPr>
          <w:rFonts w:hint="eastAsia" w:hAnsi="宋体"/>
          <w:sz w:val="24"/>
          <w:highlight w:val="none"/>
        </w:rPr>
        <w:t>（6）未按照磋商文件确定的事项签订采购合同；</w:t>
      </w:r>
    </w:p>
    <w:p w14:paraId="1DC47C5B">
      <w:pPr>
        <w:tabs>
          <w:tab w:val="left" w:pos="851"/>
        </w:tabs>
        <w:spacing w:line="360" w:lineRule="auto"/>
        <w:ind w:hanging="15"/>
        <w:rPr>
          <w:rFonts w:hAnsi="宋体"/>
          <w:sz w:val="24"/>
          <w:highlight w:val="none"/>
        </w:rPr>
      </w:pPr>
      <w:r>
        <w:rPr>
          <w:rFonts w:hint="eastAsia" w:hAnsi="宋体"/>
          <w:sz w:val="24"/>
          <w:highlight w:val="none"/>
        </w:rPr>
        <w:t>（7）将采购合同转包或者违规分包；</w:t>
      </w:r>
    </w:p>
    <w:p w14:paraId="266035FD">
      <w:pPr>
        <w:tabs>
          <w:tab w:val="left" w:pos="851"/>
        </w:tabs>
        <w:spacing w:line="360" w:lineRule="auto"/>
        <w:ind w:hanging="15"/>
        <w:rPr>
          <w:rFonts w:hAnsi="宋体"/>
          <w:sz w:val="24"/>
          <w:highlight w:val="none"/>
        </w:rPr>
      </w:pPr>
      <w:r>
        <w:rPr>
          <w:rFonts w:hint="eastAsia" w:hAnsi="宋体"/>
          <w:sz w:val="24"/>
          <w:highlight w:val="none"/>
        </w:rPr>
        <w:t>（8）提供假冒伪劣产品；</w:t>
      </w:r>
    </w:p>
    <w:p w14:paraId="239122E8">
      <w:pPr>
        <w:tabs>
          <w:tab w:val="left" w:pos="851"/>
        </w:tabs>
        <w:spacing w:line="360" w:lineRule="auto"/>
        <w:ind w:hanging="15"/>
        <w:rPr>
          <w:rFonts w:hAnsi="宋体"/>
          <w:sz w:val="24"/>
          <w:highlight w:val="none"/>
        </w:rPr>
      </w:pPr>
      <w:r>
        <w:rPr>
          <w:rFonts w:hint="eastAsia" w:hAnsi="宋体"/>
          <w:sz w:val="24"/>
          <w:highlight w:val="none"/>
        </w:rPr>
        <w:t>（9）擅自变更、</w:t>
      </w:r>
      <w:r>
        <w:rPr>
          <w:rFonts w:hint="eastAsia" w:hAnsi="宋体"/>
          <w:sz w:val="24"/>
          <w:highlight w:val="none"/>
          <w:lang w:eastAsia="zh-CN"/>
        </w:rPr>
        <w:t>终止</w:t>
      </w:r>
      <w:r>
        <w:rPr>
          <w:rFonts w:hint="eastAsia" w:hAnsi="宋体"/>
          <w:sz w:val="24"/>
          <w:highlight w:val="none"/>
        </w:rPr>
        <w:t>或者终止采购合同；</w:t>
      </w:r>
    </w:p>
    <w:p w14:paraId="5152B9DC">
      <w:pPr>
        <w:tabs>
          <w:tab w:val="left" w:pos="851"/>
        </w:tabs>
        <w:spacing w:line="360" w:lineRule="auto"/>
        <w:ind w:hanging="15"/>
        <w:rPr>
          <w:rFonts w:hAnsi="宋体"/>
          <w:sz w:val="24"/>
          <w:highlight w:val="none"/>
        </w:rPr>
      </w:pPr>
      <w:r>
        <w:rPr>
          <w:rFonts w:hint="eastAsia" w:hAnsi="宋体"/>
          <w:sz w:val="24"/>
          <w:highlight w:val="none"/>
        </w:rPr>
        <w:t>（10）拒绝有关部门的监督检查或者向监督检查部门提供虚假情况；</w:t>
      </w:r>
    </w:p>
    <w:p w14:paraId="17B01BF6">
      <w:pPr>
        <w:tabs>
          <w:tab w:val="left" w:pos="851"/>
        </w:tabs>
        <w:spacing w:line="360" w:lineRule="auto"/>
        <w:ind w:hanging="15"/>
        <w:rPr>
          <w:rFonts w:hAnsi="宋体"/>
          <w:sz w:val="24"/>
          <w:highlight w:val="none"/>
        </w:rPr>
      </w:pPr>
      <w:r>
        <w:rPr>
          <w:rFonts w:hint="eastAsia" w:hAnsi="宋体"/>
          <w:sz w:val="24"/>
          <w:highlight w:val="none"/>
        </w:rPr>
        <w:t>（11）法律法规规定的其他情形。</w:t>
      </w:r>
    </w:p>
    <w:p w14:paraId="7F98D42A">
      <w:pPr>
        <w:tabs>
          <w:tab w:val="left" w:pos="851"/>
        </w:tabs>
        <w:spacing w:line="360" w:lineRule="auto"/>
        <w:ind w:hanging="15"/>
        <w:rPr>
          <w:rFonts w:hAnsi="宋体"/>
          <w:sz w:val="24"/>
          <w:highlight w:val="none"/>
        </w:rPr>
      </w:pPr>
      <w:r>
        <w:rPr>
          <w:rFonts w:hint="eastAsia" w:hAnsi="宋体"/>
          <w:sz w:val="24"/>
          <w:highlight w:val="none"/>
        </w:rPr>
        <w:t>供应商有上述情形的，按照规定追究法律责任，具备（1）-（9）条情形之一的，同时将取消被确认为成交供应商的资格或者认定成交无效。</w:t>
      </w:r>
    </w:p>
    <w:p w14:paraId="3D01A48E">
      <w:pPr>
        <w:pStyle w:val="6"/>
        <w:keepNext w:val="0"/>
        <w:keepLines w:val="0"/>
        <w:spacing w:line="360" w:lineRule="auto"/>
        <w:ind w:hanging="15"/>
        <w:jc w:val="center"/>
        <w:rPr>
          <w:highlight w:val="none"/>
        </w:rPr>
      </w:pPr>
      <w:bookmarkStart w:id="523" w:name="_Toc6835"/>
      <w:bookmarkStart w:id="524" w:name="_Toc17292"/>
      <w:bookmarkStart w:id="525" w:name="_Toc19078"/>
      <w:bookmarkStart w:id="526" w:name="_Toc176"/>
      <w:bookmarkStart w:id="527" w:name="_Toc4827"/>
      <w:bookmarkStart w:id="528" w:name="_Toc15703"/>
      <w:bookmarkStart w:id="529" w:name="_Toc27401"/>
      <w:bookmarkStart w:id="530" w:name="_Toc11824"/>
      <w:bookmarkStart w:id="531" w:name="_Toc4081"/>
      <w:bookmarkStart w:id="532" w:name="_Toc7442"/>
      <w:bookmarkStart w:id="533" w:name="_Toc1972"/>
      <w:bookmarkStart w:id="534" w:name="_Toc13706"/>
      <w:bookmarkStart w:id="535" w:name="_Toc24621"/>
      <w:bookmarkStart w:id="536" w:name="_Toc18099"/>
      <w:bookmarkStart w:id="537" w:name="_Toc32429"/>
      <w:bookmarkStart w:id="538" w:name="_Toc24933"/>
      <w:bookmarkStart w:id="539" w:name="_Toc2077"/>
      <w:bookmarkStart w:id="540" w:name="_Toc23220"/>
      <w:bookmarkStart w:id="541" w:name="_Toc23901"/>
      <w:bookmarkStart w:id="542" w:name="_Toc24591"/>
      <w:bookmarkStart w:id="543" w:name="_Toc29685"/>
      <w:bookmarkStart w:id="544" w:name="_Toc12363"/>
      <w:r>
        <w:rPr>
          <w:rFonts w:hint="eastAsia"/>
          <w:highlight w:val="none"/>
        </w:rPr>
        <w:t>九、询问、质疑和投诉</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64AF24D">
      <w:pPr>
        <w:tabs>
          <w:tab w:val="left" w:pos="851"/>
        </w:tabs>
        <w:spacing w:line="360" w:lineRule="auto"/>
        <w:ind w:hanging="15"/>
        <w:jc w:val="center"/>
        <w:rPr>
          <w:rFonts w:ascii="宋体" w:hAnsi="宋体"/>
          <w:sz w:val="24"/>
          <w:highlight w:val="none"/>
        </w:rPr>
      </w:pPr>
    </w:p>
    <w:p w14:paraId="35F899B6">
      <w:pPr>
        <w:tabs>
          <w:tab w:val="left" w:pos="851"/>
        </w:tabs>
        <w:spacing w:line="360" w:lineRule="auto"/>
        <w:ind w:hanging="15"/>
        <w:rPr>
          <w:rFonts w:hAnsi="宋体"/>
          <w:sz w:val="24"/>
          <w:highlight w:val="none"/>
        </w:rPr>
      </w:pPr>
      <w:r>
        <w:rPr>
          <w:rFonts w:hint="eastAsia" w:ascii="宋体" w:hAnsi="宋体"/>
          <w:b/>
          <w:bCs/>
          <w:sz w:val="24"/>
          <w:highlight w:val="none"/>
        </w:rPr>
        <w:t>37.询问、质</w:t>
      </w:r>
      <w:r>
        <w:rPr>
          <w:rFonts w:hint="eastAsia" w:hAnsi="宋体"/>
          <w:b/>
          <w:bCs/>
          <w:sz w:val="24"/>
          <w:highlight w:val="none"/>
        </w:rPr>
        <w:t>疑、投诉的接收和处理：</w:t>
      </w:r>
      <w:r>
        <w:rPr>
          <w:rFonts w:hint="eastAsia" w:hAnsi="宋体"/>
          <w:sz w:val="24"/>
          <w:highlight w:val="none"/>
        </w:rPr>
        <w:t>参照《</w:t>
      </w:r>
      <w:r>
        <w:rPr>
          <w:rFonts w:hint="eastAsia" w:hAnsi="宋体"/>
          <w:sz w:val="24"/>
          <w:highlight w:val="none"/>
          <w:lang w:eastAsia="zh-CN"/>
        </w:rPr>
        <w:t>中华人民共和国</w:t>
      </w:r>
      <w:r>
        <w:rPr>
          <w:rFonts w:hint="eastAsia" w:hAnsi="宋体"/>
          <w:sz w:val="24"/>
          <w:highlight w:val="none"/>
        </w:rPr>
        <w:t>政府采购法</w:t>
      </w:r>
      <w:r>
        <w:rPr>
          <w:rFonts w:hint="eastAsia" w:hAnsi="宋体"/>
          <w:sz w:val="24"/>
          <w:highlight w:val="none"/>
          <w:lang w:eastAsia="zh-CN"/>
        </w:rPr>
        <w:t>》《</w:t>
      </w:r>
      <w:r>
        <w:rPr>
          <w:rFonts w:hint="eastAsia" w:hAnsi="宋体"/>
          <w:sz w:val="24"/>
          <w:highlight w:val="none"/>
        </w:rPr>
        <w:t>中华人民共和国政府采购法实施条例</w:t>
      </w:r>
      <w:r>
        <w:rPr>
          <w:rFonts w:hint="eastAsia" w:hAnsi="宋体"/>
          <w:sz w:val="24"/>
          <w:highlight w:val="none"/>
          <w:lang w:eastAsia="zh-CN"/>
        </w:rPr>
        <w:t>》《</w:t>
      </w:r>
      <w:r>
        <w:rPr>
          <w:rFonts w:hint="eastAsia" w:hAnsi="宋体"/>
          <w:sz w:val="24"/>
          <w:highlight w:val="none"/>
        </w:rPr>
        <w:t>财政部关于加强政府采购供应商投诉受理审查工作的通知》和四川省的有关规定办理。</w:t>
      </w:r>
    </w:p>
    <w:p w14:paraId="057E15AD">
      <w:pPr>
        <w:tabs>
          <w:tab w:val="left" w:pos="851"/>
        </w:tabs>
        <w:spacing w:line="360" w:lineRule="auto"/>
        <w:ind w:hanging="15"/>
        <w:jc w:val="center"/>
        <w:rPr>
          <w:rFonts w:ascii="宋体" w:hAnsi="宋体"/>
          <w:sz w:val="24"/>
          <w:highlight w:val="none"/>
        </w:rPr>
      </w:pPr>
    </w:p>
    <w:p w14:paraId="4A9A1BF1">
      <w:pPr>
        <w:pStyle w:val="6"/>
        <w:keepNext w:val="0"/>
        <w:keepLines w:val="0"/>
        <w:spacing w:line="360" w:lineRule="auto"/>
        <w:ind w:hanging="15"/>
        <w:jc w:val="center"/>
        <w:rPr>
          <w:highlight w:val="none"/>
        </w:rPr>
      </w:pPr>
      <w:bookmarkStart w:id="545" w:name="_Toc22120"/>
      <w:bookmarkStart w:id="546" w:name="_Toc23960"/>
      <w:bookmarkStart w:id="547" w:name="_Toc1992"/>
      <w:bookmarkStart w:id="548" w:name="_Toc22607"/>
      <w:bookmarkStart w:id="549" w:name="_Toc10136"/>
      <w:bookmarkStart w:id="550" w:name="_Toc5035"/>
      <w:bookmarkStart w:id="551" w:name="_Toc10533"/>
      <w:bookmarkStart w:id="552" w:name="_Toc29178"/>
      <w:bookmarkStart w:id="553" w:name="_Toc117"/>
      <w:bookmarkStart w:id="554" w:name="_Toc31690"/>
      <w:bookmarkStart w:id="555" w:name="_Toc15909"/>
      <w:bookmarkStart w:id="556" w:name="_Toc13065"/>
      <w:bookmarkStart w:id="557" w:name="_Toc30405"/>
      <w:bookmarkStart w:id="558" w:name="_Toc26845"/>
      <w:bookmarkStart w:id="559" w:name="_Toc29624"/>
      <w:bookmarkStart w:id="560" w:name="_Toc32415"/>
      <w:bookmarkStart w:id="561" w:name="_Toc8307"/>
      <w:bookmarkStart w:id="562" w:name="_Toc3490"/>
      <w:bookmarkStart w:id="563" w:name="_Toc15570"/>
      <w:bookmarkStart w:id="564" w:name="_Toc8325"/>
      <w:bookmarkStart w:id="565" w:name="_Toc20369"/>
      <w:bookmarkStart w:id="566" w:name="_Toc5956"/>
      <w:r>
        <w:rPr>
          <w:rFonts w:hint="eastAsia"/>
          <w:highlight w:val="none"/>
        </w:rPr>
        <w:t>十、其他</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DDEE3C5">
      <w:pPr>
        <w:tabs>
          <w:tab w:val="left" w:pos="851"/>
        </w:tabs>
        <w:spacing w:line="360" w:lineRule="auto"/>
        <w:ind w:hanging="15"/>
        <w:jc w:val="center"/>
        <w:rPr>
          <w:rFonts w:ascii="宋体" w:hAnsi="宋体"/>
          <w:sz w:val="24"/>
          <w:highlight w:val="none"/>
        </w:rPr>
      </w:pPr>
    </w:p>
    <w:p w14:paraId="410E37D2">
      <w:pPr>
        <w:tabs>
          <w:tab w:val="left" w:pos="851"/>
        </w:tabs>
        <w:spacing w:line="360" w:lineRule="auto"/>
        <w:ind w:left="-15"/>
        <w:rPr>
          <w:rFonts w:hAnsi="宋体"/>
          <w:sz w:val="24"/>
          <w:highlight w:val="none"/>
        </w:rPr>
      </w:pPr>
      <w:r>
        <w:rPr>
          <w:rFonts w:hint="eastAsia" w:ascii="宋体" w:hAnsi="宋体"/>
          <w:sz w:val="24"/>
          <w:highlight w:val="none"/>
        </w:rPr>
        <w:t>38.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w:t>
      </w:r>
      <w:r>
        <w:rPr>
          <w:rFonts w:hint="eastAsia" w:hAnsi="宋体"/>
          <w:sz w:val="24"/>
          <w:highlight w:val="none"/>
        </w:rPr>
        <w:t>商文件不再</w:t>
      </w:r>
      <w:r>
        <w:rPr>
          <w:rFonts w:hint="eastAsia" w:hAnsi="宋体"/>
          <w:sz w:val="24"/>
          <w:highlight w:val="none"/>
          <w:lang w:eastAsia="zh-CN"/>
        </w:rPr>
        <w:t>作调整</w:t>
      </w:r>
      <w:r>
        <w:rPr>
          <w:rFonts w:hint="eastAsia" w:hAnsi="宋体"/>
          <w:sz w:val="24"/>
          <w:highlight w:val="none"/>
        </w:rPr>
        <w:t>。</w:t>
      </w:r>
    </w:p>
    <w:p w14:paraId="1E6F92E1">
      <w:pPr>
        <w:pStyle w:val="2"/>
        <w:spacing w:line="360" w:lineRule="auto"/>
        <w:rPr>
          <w:b/>
          <w:sz w:val="32"/>
          <w:szCs w:val="32"/>
          <w:highlight w:val="none"/>
        </w:rPr>
      </w:pPr>
      <w:r>
        <w:rPr>
          <w:rFonts w:hint="eastAsia" w:ascii="宋体" w:hAnsi="宋体"/>
          <w:sz w:val="24"/>
          <w:highlight w:val="none"/>
        </w:rPr>
        <w:t>39.</w:t>
      </w:r>
      <w:r>
        <w:rPr>
          <w:rFonts w:hint="eastAsia" w:ascii="宋体" w:hAnsi="宋体" w:cs="宋体"/>
          <w:b/>
          <w:sz w:val="24"/>
          <w:highlight w:val="none"/>
        </w:rPr>
        <w:t>（实质性要求）</w:t>
      </w:r>
      <w:r>
        <w:rPr>
          <w:rFonts w:hAnsi="宋体"/>
          <w:sz w:val="24"/>
          <w:highlight w:val="none"/>
        </w:rPr>
        <w:t>国家</w:t>
      </w:r>
      <w:r>
        <w:rPr>
          <w:rFonts w:hint="eastAsia" w:hAnsi="宋体"/>
          <w:sz w:val="24"/>
          <w:highlight w:val="none"/>
        </w:rPr>
        <w:t>或行业主管部门</w:t>
      </w:r>
      <w:r>
        <w:rPr>
          <w:rFonts w:hAnsi="宋体"/>
          <w:sz w:val="24"/>
          <w:highlight w:val="none"/>
        </w:rPr>
        <w:t>对</w:t>
      </w:r>
      <w:r>
        <w:rPr>
          <w:rFonts w:hint="eastAsia" w:hAnsi="宋体"/>
          <w:sz w:val="24"/>
          <w:highlight w:val="none"/>
        </w:rPr>
        <w:t>供应商和采购产品的</w:t>
      </w:r>
      <w:r>
        <w:rPr>
          <w:rFonts w:hAnsi="宋体"/>
          <w:sz w:val="24"/>
          <w:highlight w:val="none"/>
        </w:rPr>
        <w:t>技术</w:t>
      </w:r>
      <w:r>
        <w:rPr>
          <w:rFonts w:hint="eastAsia" w:hAnsi="宋体"/>
          <w:sz w:val="24"/>
          <w:highlight w:val="none"/>
        </w:rPr>
        <w:t>标准、</w:t>
      </w:r>
      <w:r>
        <w:rPr>
          <w:rFonts w:hAnsi="宋体"/>
          <w:sz w:val="24"/>
          <w:highlight w:val="none"/>
        </w:rPr>
        <w:t>质量</w:t>
      </w:r>
      <w:r>
        <w:rPr>
          <w:rFonts w:hint="eastAsia" w:hAnsi="宋体"/>
          <w:sz w:val="24"/>
          <w:highlight w:val="none"/>
        </w:rPr>
        <w:t>标准和资格资质条件</w:t>
      </w:r>
      <w:r>
        <w:rPr>
          <w:rFonts w:hAnsi="宋体"/>
          <w:sz w:val="24"/>
          <w:highlight w:val="none"/>
        </w:rPr>
        <w:t>等有</w:t>
      </w:r>
      <w:r>
        <w:rPr>
          <w:rFonts w:hint="eastAsia" w:hAnsi="宋体"/>
          <w:sz w:val="24"/>
          <w:highlight w:val="none"/>
        </w:rPr>
        <w:t>强制性规定</w:t>
      </w:r>
      <w:r>
        <w:rPr>
          <w:rFonts w:hAnsi="宋体"/>
          <w:sz w:val="24"/>
          <w:highlight w:val="none"/>
        </w:rPr>
        <w:t>的</w:t>
      </w:r>
      <w:r>
        <w:rPr>
          <w:rFonts w:hint="eastAsia" w:hAnsi="宋体"/>
          <w:sz w:val="24"/>
          <w:highlight w:val="none"/>
        </w:rPr>
        <w:t>，必须符合其要求。</w:t>
      </w:r>
    </w:p>
    <w:bookmarkEnd w:id="338"/>
    <w:bookmarkEnd w:id="339"/>
    <w:p w14:paraId="12FF3D4C">
      <w:pPr>
        <w:spacing w:line="360" w:lineRule="auto"/>
        <w:jc w:val="center"/>
        <w:outlineLvl w:val="0"/>
        <w:rPr>
          <w:rFonts w:hint="eastAsia"/>
          <w:b/>
          <w:sz w:val="36"/>
          <w:szCs w:val="36"/>
          <w:highlight w:val="none"/>
        </w:rPr>
      </w:pPr>
      <w:bookmarkStart w:id="567" w:name="_Toc6368"/>
      <w:bookmarkStart w:id="568" w:name="_Toc11239"/>
      <w:bookmarkStart w:id="569" w:name="_Toc28814"/>
      <w:bookmarkStart w:id="570" w:name="_Toc30278"/>
      <w:bookmarkStart w:id="571" w:name="_Toc119"/>
      <w:bookmarkStart w:id="572" w:name="_Toc17567"/>
      <w:bookmarkStart w:id="573" w:name="_Toc27188"/>
      <w:bookmarkStart w:id="574" w:name="_Toc337"/>
      <w:bookmarkStart w:id="575" w:name="_Toc4903"/>
      <w:bookmarkStart w:id="576" w:name="_Toc14115"/>
      <w:bookmarkStart w:id="577" w:name="_Toc14753"/>
      <w:bookmarkStart w:id="578" w:name="_Toc31501"/>
      <w:bookmarkStart w:id="579" w:name="_Toc508133972"/>
      <w:bookmarkStart w:id="580" w:name="_Toc23866"/>
      <w:r>
        <w:rPr>
          <w:rFonts w:hint="eastAsia" w:ascii="宋体" w:hAnsi="宋体" w:cs="宋体"/>
          <w:b/>
          <w:sz w:val="32"/>
          <w:szCs w:val="32"/>
          <w:highlight w:val="none"/>
        </w:rPr>
        <w:br w:type="page"/>
      </w:r>
      <w:bookmarkStart w:id="581" w:name="_Toc22549"/>
      <w:bookmarkStart w:id="582" w:name="_Toc31878"/>
      <w:bookmarkStart w:id="583" w:name="_Toc27379"/>
      <w:bookmarkStart w:id="584" w:name="_Toc12522"/>
      <w:bookmarkStart w:id="585" w:name="_Toc14658"/>
      <w:bookmarkStart w:id="586" w:name="_Toc18534"/>
      <w:bookmarkStart w:id="587" w:name="_Toc19180"/>
      <w:bookmarkStart w:id="588" w:name="_Toc10562"/>
      <w:bookmarkStart w:id="589" w:name="_Toc12543"/>
      <w:bookmarkStart w:id="590" w:name="_Toc8545"/>
      <w:bookmarkStart w:id="591" w:name="_Toc8290"/>
      <w:bookmarkStart w:id="592" w:name="_Toc29014"/>
      <w:r>
        <w:rPr>
          <w:rFonts w:hint="eastAsia"/>
          <w:b/>
          <w:sz w:val="36"/>
          <w:szCs w:val="36"/>
          <w:highlight w:val="none"/>
        </w:rPr>
        <w:t>第三章供应商资格条件要求</w:t>
      </w:r>
      <w:bookmarkEnd w:id="567"/>
      <w:bookmarkEnd w:id="568"/>
      <w:bookmarkEnd w:id="569"/>
      <w:bookmarkEnd w:id="570"/>
      <w:bookmarkEnd w:id="571"/>
      <w:bookmarkEnd w:id="572"/>
      <w:bookmarkEnd w:id="573"/>
      <w:bookmarkEnd w:id="574"/>
      <w:bookmarkEnd w:id="575"/>
      <w:bookmarkEnd w:id="576"/>
      <w:bookmarkEnd w:id="577"/>
      <w:bookmarkEnd w:id="578"/>
      <w:bookmarkEnd w:id="581"/>
      <w:bookmarkEnd w:id="582"/>
      <w:bookmarkEnd w:id="583"/>
      <w:bookmarkEnd w:id="584"/>
      <w:bookmarkEnd w:id="585"/>
      <w:bookmarkEnd w:id="586"/>
      <w:bookmarkEnd w:id="587"/>
      <w:bookmarkEnd w:id="588"/>
      <w:bookmarkEnd w:id="589"/>
      <w:bookmarkEnd w:id="590"/>
      <w:bookmarkEnd w:id="591"/>
      <w:bookmarkEnd w:id="592"/>
    </w:p>
    <w:p w14:paraId="1109BB0A">
      <w:pPr>
        <w:spacing w:line="360" w:lineRule="auto"/>
        <w:rPr>
          <w:rFonts w:ascii="宋体" w:hAnsi="宋体" w:cs="宋体"/>
          <w:b/>
          <w:sz w:val="32"/>
          <w:szCs w:val="32"/>
          <w:highlight w:val="none"/>
        </w:rPr>
      </w:pPr>
    </w:p>
    <w:p w14:paraId="634F10FF">
      <w:pPr>
        <w:numPr>
          <w:ilvl w:val="0"/>
          <w:numId w:val="0"/>
        </w:numPr>
        <w:spacing w:line="360" w:lineRule="auto"/>
        <w:ind w:firstLine="542" w:firstLineChars="225"/>
        <w:outlineLvl w:val="1"/>
        <w:rPr>
          <w:rFonts w:ascii="宋体" w:hAnsi="宋体" w:cs="宋体"/>
          <w:b/>
          <w:bCs/>
          <w:sz w:val="24"/>
          <w:highlight w:val="none"/>
        </w:rPr>
      </w:pPr>
      <w:bookmarkStart w:id="593" w:name="_Toc2357"/>
      <w:bookmarkStart w:id="594" w:name="_Toc14643"/>
      <w:bookmarkStart w:id="595" w:name="_Toc3265"/>
      <w:bookmarkStart w:id="596" w:name="_Toc29059"/>
      <w:bookmarkStart w:id="597" w:name="_Toc31537"/>
      <w:bookmarkStart w:id="598" w:name="_Toc6946"/>
      <w:bookmarkStart w:id="599" w:name="_Toc13454"/>
      <w:bookmarkStart w:id="600" w:name="_Toc21458"/>
      <w:bookmarkStart w:id="601" w:name="_Toc295"/>
      <w:bookmarkStart w:id="602" w:name="_Toc22484"/>
      <w:bookmarkStart w:id="603" w:name="_Toc4679"/>
      <w:bookmarkStart w:id="604" w:name="_Toc11471"/>
      <w:bookmarkStart w:id="605" w:name="_Toc20443"/>
      <w:bookmarkStart w:id="606" w:name="_Toc29654"/>
      <w:bookmarkStart w:id="607" w:name="_Toc22550"/>
      <w:bookmarkStart w:id="608" w:name="_Toc13513"/>
      <w:bookmarkStart w:id="609" w:name="_Toc22428"/>
      <w:bookmarkStart w:id="610" w:name="_Toc488"/>
      <w:bookmarkStart w:id="611" w:name="_Toc17032"/>
      <w:bookmarkStart w:id="612" w:name="_Toc13079"/>
      <w:bookmarkStart w:id="613" w:name="_Toc29841"/>
      <w:bookmarkStart w:id="614" w:name="_Toc10048"/>
      <w:bookmarkStart w:id="615" w:name="_Toc6045"/>
      <w:bookmarkStart w:id="616" w:name="_Toc5120"/>
      <w:bookmarkStart w:id="617" w:name="_Toc25597"/>
      <w:bookmarkStart w:id="618" w:name="_Toc789"/>
      <w:r>
        <w:rPr>
          <w:rFonts w:hint="eastAsia" w:ascii="宋体" w:hAnsi="宋体" w:cs="宋体"/>
          <w:b/>
          <w:bCs/>
          <w:sz w:val="24"/>
          <w:highlight w:val="none"/>
        </w:rPr>
        <w:t>参加磋商的供应商应具备下列资格条件：</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12E7284">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rPr>
        <w:t>（一）参照《中华人民共和国政府采购法》第二十二条规定的条件：</w:t>
      </w:r>
    </w:p>
    <w:p w14:paraId="416B441F">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1.</w:t>
      </w:r>
      <w:r>
        <w:rPr>
          <w:rFonts w:hint="eastAsia" w:ascii="宋体" w:hAnsi="宋体"/>
          <w:sz w:val="24"/>
          <w:highlight w:val="none"/>
        </w:rPr>
        <w:t>具备独立的承担民事责任能力</w:t>
      </w:r>
      <w:permStart w:id="66" w:edGrp="everyone"/>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法人）</w:t>
      </w:r>
      <w:permEnd w:id="66"/>
      <w:r>
        <w:rPr>
          <w:rFonts w:hint="eastAsia" w:ascii="宋体" w:hAnsi="宋体" w:cs="宋体"/>
          <w:spacing w:val="-2"/>
          <w:sz w:val="24"/>
          <w:szCs w:val="24"/>
          <w:highlight w:val="none"/>
        </w:rPr>
        <w:t>；</w:t>
      </w:r>
    </w:p>
    <w:p w14:paraId="02F1A509">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2.</w:t>
      </w:r>
      <w:r>
        <w:rPr>
          <w:rFonts w:hint="eastAsia" w:ascii="宋体" w:hAnsi="宋体" w:cs="宋体"/>
          <w:spacing w:val="-2"/>
          <w:sz w:val="24"/>
          <w:szCs w:val="24"/>
          <w:highlight w:val="none"/>
        </w:rPr>
        <w:t>具有良好的商业信誉和健全的财务会计制度；</w:t>
      </w:r>
    </w:p>
    <w:p w14:paraId="251BDDB3">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3.</w:t>
      </w:r>
      <w:r>
        <w:rPr>
          <w:rFonts w:hint="eastAsia" w:ascii="宋体" w:hAnsi="宋体" w:cs="宋体"/>
          <w:spacing w:val="-2"/>
          <w:sz w:val="24"/>
          <w:szCs w:val="24"/>
          <w:highlight w:val="none"/>
        </w:rPr>
        <w:t>具有履行合同所必须的设备和专业技术能力；</w:t>
      </w:r>
    </w:p>
    <w:p w14:paraId="4DDDF9A2">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4.</w:t>
      </w:r>
      <w:r>
        <w:rPr>
          <w:rFonts w:hint="eastAsia" w:ascii="宋体" w:hAnsi="宋体" w:cs="宋体"/>
          <w:spacing w:val="-2"/>
          <w:sz w:val="24"/>
          <w:szCs w:val="24"/>
          <w:highlight w:val="none"/>
        </w:rPr>
        <w:t>具有依法缴纳税收和社会保障资金的良好记录；</w:t>
      </w:r>
    </w:p>
    <w:p w14:paraId="65E27275">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5.</w:t>
      </w:r>
      <w:r>
        <w:rPr>
          <w:rFonts w:hint="eastAsia" w:ascii="宋体" w:hAnsi="宋体" w:cs="宋体"/>
          <w:spacing w:val="-2"/>
          <w:sz w:val="24"/>
          <w:szCs w:val="24"/>
          <w:highlight w:val="none"/>
        </w:rPr>
        <w:t>参加本次采购活动前三年内，在经营活动中没有重大违法记录；</w:t>
      </w:r>
    </w:p>
    <w:p w14:paraId="2958F5F2">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lang w:val="en-US" w:eastAsia="zh-CN"/>
        </w:rPr>
        <w:t>6.</w:t>
      </w:r>
      <w:r>
        <w:rPr>
          <w:rFonts w:hint="eastAsia" w:ascii="宋体" w:hAnsi="宋体" w:cs="宋体"/>
          <w:spacing w:val="-2"/>
          <w:sz w:val="24"/>
          <w:szCs w:val="24"/>
          <w:highlight w:val="none"/>
        </w:rPr>
        <w:t>法律、行政法规规定的其他条件。</w:t>
      </w:r>
    </w:p>
    <w:p w14:paraId="711CDDCD">
      <w:pPr>
        <w:kinsoku w:val="0"/>
        <w:autoSpaceDE w:val="0"/>
        <w:autoSpaceDN w:val="0"/>
        <w:adjustRightInd w:val="0"/>
        <w:snapToGrid w:val="0"/>
        <w:spacing w:line="360" w:lineRule="auto"/>
        <w:ind w:firstLine="472" w:firstLineChars="200"/>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rPr>
        <w:t>（二）根据采购项目提出的特殊条件：</w:t>
      </w:r>
      <w:permStart w:id="67" w:edGrp="everyone"/>
    </w:p>
    <w:p w14:paraId="37A7ECCA">
      <w:pPr>
        <w:kinsoku w:val="0"/>
        <w:autoSpaceDE w:val="0"/>
        <w:autoSpaceDN w:val="0"/>
        <w:adjustRightInd w:val="0"/>
        <w:snapToGrid w:val="0"/>
        <w:spacing w:line="360" w:lineRule="auto"/>
        <w:ind w:firstLine="480" w:firstLineChars="200"/>
        <w:textAlignment w:val="baseline"/>
        <w:rPr>
          <w:rFonts w:hint="eastAsia" w:hAnsi="宋体" w:eastAsia="宋体" w:cs="宋体"/>
          <w:bCs/>
          <w:color w:val="000000" w:themeColor="text1"/>
          <w:sz w:val="24"/>
          <w:lang w:val="en-US" w:eastAsia="zh-CN"/>
          <w14:textFill>
            <w14:solidFill>
              <w14:schemeClr w14:val="tx1"/>
            </w14:solidFill>
          </w14:textFill>
        </w:rPr>
      </w:pPr>
      <w:r>
        <w:rPr>
          <w:rFonts w:hint="eastAsia" w:hAnsi="宋体" w:eastAsia="宋体" w:cs="宋体"/>
          <w:bCs/>
          <w:color w:val="000000" w:themeColor="text1"/>
          <w:sz w:val="24"/>
          <w:lang w:val="en-US" w:eastAsia="zh-CN"/>
          <w14:textFill>
            <w14:solidFill>
              <w14:schemeClr w14:val="tx1"/>
            </w14:solidFill>
          </w14:textFill>
        </w:rPr>
        <w:t xml:space="preserve">1. 具有司法行政机关核发的的《律师事务所执业许可证》，并在有效期内且年度检查考核合格。 </w:t>
      </w:r>
    </w:p>
    <w:p w14:paraId="6D0D2514">
      <w:pPr>
        <w:kinsoku w:val="0"/>
        <w:autoSpaceDE w:val="0"/>
        <w:autoSpaceDN w:val="0"/>
        <w:adjustRightInd w:val="0"/>
        <w:snapToGrid w:val="0"/>
        <w:spacing w:line="360" w:lineRule="auto"/>
        <w:ind w:firstLine="480" w:firstLineChars="200"/>
        <w:textAlignment w:val="baseline"/>
        <w:rPr>
          <w:rFonts w:hint="eastAsia" w:hAnsi="宋体" w:eastAsia="宋体" w:cs="宋体"/>
          <w:bCs/>
          <w:color w:val="000000" w:themeColor="text1"/>
          <w:sz w:val="24"/>
          <w:lang w:val="en-US" w:eastAsia="zh-CN"/>
          <w14:textFill>
            <w14:solidFill>
              <w14:schemeClr w14:val="tx1"/>
            </w14:solidFill>
          </w14:textFill>
        </w:rPr>
      </w:pPr>
      <w:r>
        <w:rPr>
          <w:rFonts w:hint="eastAsia" w:hAnsi="宋体" w:eastAsia="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lang w:val="en-US" w:eastAsia="zh-CN"/>
          <w14:textFill>
            <w14:solidFill>
              <w14:schemeClr w14:val="tx1"/>
            </w14:solidFill>
          </w14:textFill>
        </w:rPr>
        <w:t>主办律师1人，需具备5年以上执业经验；拟投入本项目的其他律师2人及以上，需具备3年以上执业经验。（执业经验年限以执业证号中正式执业的年份起算）</w:t>
      </w:r>
    </w:p>
    <w:permEnd w:id="67"/>
    <w:p w14:paraId="105ABED4">
      <w:pPr>
        <w:spacing w:line="360" w:lineRule="auto"/>
        <w:ind w:left="420" w:leftChars="200"/>
        <w:jc w:val="left"/>
        <w:rPr>
          <w:highlight w:val="none"/>
        </w:rPr>
      </w:pPr>
    </w:p>
    <w:p w14:paraId="23978376">
      <w:pPr>
        <w:pStyle w:val="2"/>
        <w:spacing w:line="360" w:lineRule="auto"/>
        <w:rPr>
          <w:rFonts w:hint="eastAsia" w:ascii="宋体" w:hAnsi="宋体" w:eastAsia="宋体"/>
          <w:b/>
          <w:sz w:val="24"/>
          <w:highlight w:val="none"/>
          <w:lang w:eastAsia="zh-CN"/>
        </w:rPr>
      </w:pPr>
    </w:p>
    <w:p w14:paraId="75FE9CB3">
      <w:pPr>
        <w:pStyle w:val="2"/>
        <w:spacing w:line="360" w:lineRule="auto"/>
        <w:rPr>
          <w:rFonts w:ascii="宋体" w:hAnsi="宋体"/>
          <w:b/>
          <w:sz w:val="24"/>
          <w:highlight w:val="none"/>
        </w:rPr>
      </w:pPr>
    </w:p>
    <w:p w14:paraId="486CCE37">
      <w:pPr>
        <w:pStyle w:val="2"/>
        <w:spacing w:line="360" w:lineRule="auto"/>
        <w:rPr>
          <w:rFonts w:hint="eastAsia" w:ascii="宋体" w:hAnsi="宋体"/>
          <w:b/>
          <w:sz w:val="24"/>
          <w:highlight w:val="none"/>
        </w:rPr>
      </w:pPr>
    </w:p>
    <w:p w14:paraId="6ECDBFEA">
      <w:pPr>
        <w:pStyle w:val="2"/>
        <w:spacing w:line="360" w:lineRule="auto"/>
        <w:rPr>
          <w:rFonts w:hint="eastAsia" w:ascii="宋体" w:hAnsi="宋体"/>
          <w:b/>
          <w:sz w:val="24"/>
          <w:highlight w:val="none"/>
        </w:rPr>
      </w:pPr>
    </w:p>
    <w:p w14:paraId="3A880CC2">
      <w:pPr>
        <w:pStyle w:val="2"/>
        <w:spacing w:line="360" w:lineRule="auto"/>
        <w:rPr>
          <w:rFonts w:hint="eastAsia" w:ascii="宋体" w:hAnsi="宋体"/>
          <w:b/>
          <w:sz w:val="24"/>
          <w:highlight w:val="none"/>
        </w:rPr>
      </w:pPr>
    </w:p>
    <w:p w14:paraId="3860EDF0">
      <w:pPr>
        <w:pStyle w:val="2"/>
        <w:spacing w:line="360" w:lineRule="auto"/>
        <w:rPr>
          <w:rFonts w:ascii="宋体" w:hAnsi="宋体" w:cs="宋体"/>
          <w:sz w:val="24"/>
          <w:highlight w:val="none"/>
        </w:rPr>
      </w:pPr>
      <w:r>
        <w:rPr>
          <w:rFonts w:hint="eastAsia" w:ascii="宋体" w:hAnsi="宋体"/>
          <w:b/>
          <w:sz w:val="24"/>
          <w:highlight w:val="none"/>
        </w:rPr>
        <w:t>注：1、供应商在参加采购活动前，被纳入法院、市场监督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A35D7E2">
      <w:pPr>
        <w:numPr>
          <w:ilvl w:val="0"/>
          <w:numId w:val="2"/>
        </w:numPr>
        <w:spacing w:line="360" w:lineRule="auto"/>
        <w:jc w:val="center"/>
        <w:outlineLvl w:val="0"/>
        <w:rPr>
          <w:rStyle w:val="31"/>
          <w:rFonts w:hint="eastAsia"/>
          <w:sz w:val="36"/>
          <w:szCs w:val="36"/>
          <w:highlight w:val="none"/>
        </w:rPr>
      </w:pPr>
      <w:bookmarkStart w:id="619" w:name="_Toc916"/>
      <w:bookmarkStart w:id="620" w:name="_Toc15533"/>
      <w:bookmarkStart w:id="621" w:name="_Toc26855"/>
      <w:bookmarkStart w:id="622" w:name="_Toc2738"/>
      <w:bookmarkStart w:id="623" w:name="_Toc31857"/>
      <w:bookmarkStart w:id="624" w:name="_Toc32464"/>
      <w:bookmarkStart w:id="625" w:name="_Toc23069"/>
      <w:bookmarkStart w:id="626" w:name="_Toc18093"/>
      <w:bookmarkStart w:id="627" w:name="_Toc31353"/>
      <w:bookmarkStart w:id="628" w:name="_Toc32676"/>
      <w:bookmarkStart w:id="629" w:name="_Toc3937"/>
      <w:bookmarkStart w:id="630" w:name="_Toc16189"/>
      <w:bookmarkStart w:id="631" w:name="_Toc23846"/>
      <w:bookmarkStart w:id="632" w:name="_Toc23787"/>
      <w:bookmarkStart w:id="633" w:name="_Toc11618"/>
      <w:bookmarkStart w:id="634" w:name="_Toc5293"/>
      <w:bookmarkStart w:id="635" w:name="_Toc27086"/>
      <w:bookmarkStart w:id="636" w:name="_Toc11990"/>
      <w:bookmarkStart w:id="637" w:name="_Toc9747"/>
      <w:bookmarkStart w:id="638" w:name="_Toc30552"/>
      <w:bookmarkStart w:id="639" w:name="_Toc16767"/>
      <w:bookmarkStart w:id="640" w:name="_Toc1056"/>
      <w:bookmarkStart w:id="641" w:name="_Toc5930"/>
      <w:bookmarkStart w:id="642" w:name="_Toc20089"/>
      <w:bookmarkStart w:id="643" w:name="_Toc28976"/>
      <w:bookmarkStart w:id="644" w:name="_Toc5447"/>
      <w:r>
        <w:rPr>
          <w:rStyle w:val="31"/>
          <w:rFonts w:hint="eastAsia"/>
          <w:sz w:val="36"/>
          <w:szCs w:val="36"/>
          <w:highlight w:val="none"/>
        </w:rPr>
        <w:br w:type="page"/>
      </w:r>
      <w:bookmarkStart w:id="645" w:name="_Toc5621"/>
      <w:r>
        <w:rPr>
          <w:rStyle w:val="31"/>
          <w:rFonts w:hint="eastAsia"/>
          <w:sz w:val="36"/>
          <w:szCs w:val="36"/>
          <w:highlight w:val="none"/>
        </w:rPr>
        <w:t>供应商资格证明材料</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Start w:id="646" w:name="_Toc11736"/>
      <w:bookmarkStart w:id="647" w:name="_Toc22286"/>
      <w:bookmarkStart w:id="648" w:name="_Toc27765"/>
      <w:bookmarkStart w:id="649" w:name="_Toc7899"/>
      <w:bookmarkStart w:id="650" w:name="_Toc30529"/>
      <w:bookmarkStart w:id="651" w:name="_Toc8437"/>
      <w:bookmarkStart w:id="652" w:name="_Toc22547"/>
      <w:bookmarkStart w:id="653" w:name="_Toc29194"/>
      <w:bookmarkStart w:id="654" w:name="_Toc21765"/>
      <w:bookmarkStart w:id="655" w:name="_Toc26015"/>
      <w:bookmarkStart w:id="656" w:name="_Toc15349"/>
      <w:bookmarkStart w:id="657" w:name="_Toc31994"/>
      <w:bookmarkStart w:id="658" w:name="_Toc8909"/>
      <w:bookmarkStart w:id="659" w:name="_Toc350"/>
      <w:bookmarkStart w:id="660" w:name="_Toc22101"/>
      <w:bookmarkStart w:id="661" w:name="_Toc21120"/>
      <w:bookmarkStart w:id="662" w:name="_Toc19384"/>
      <w:bookmarkStart w:id="663" w:name="_Toc11786"/>
      <w:bookmarkStart w:id="664" w:name="_Toc11633"/>
      <w:bookmarkStart w:id="665" w:name="_Toc25659"/>
      <w:bookmarkStart w:id="666" w:name="_Toc26948"/>
      <w:bookmarkStart w:id="667" w:name="_Toc24279"/>
      <w:bookmarkStart w:id="668" w:name="_Toc30263"/>
      <w:bookmarkStart w:id="669" w:name="_Toc23266"/>
      <w:bookmarkStart w:id="670" w:name="_Toc15088"/>
    </w:p>
    <w:p w14:paraId="2238014B">
      <w:pPr>
        <w:numPr>
          <w:ilvl w:val="0"/>
          <w:numId w:val="0"/>
        </w:numPr>
        <w:spacing w:line="360" w:lineRule="auto"/>
        <w:jc w:val="both"/>
        <w:outlineLvl w:val="0"/>
        <w:rPr>
          <w:rFonts w:ascii="宋体" w:hAnsi="宋体" w:cs="宋体"/>
          <w:sz w:val="24"/>
          <w:highlight w:val="none"/>
        </w:rPr>
      </w:pPr>
      <w:r>
        <w:rPr>
          <w:rFonts w:hint="eastAsia" w:ascii="宋体" w:hAnsi="宋体" w:cs="宋体"/>
          <w:b/>
          <w:bCs/>
          <w:sz w:val="24"/>
          <w:highlight w:val="none"/>
        </w:rPr>
        <w:t>一、供应商应提交的资格证明材料</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Start w:id="671" w:name="_Toc20887"/>
    </w:p>
    <w:tbl>
      <w:tblPr>
        <w:tblStyle w:val="1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858"/>
        <w:gridCol w:w="4854"/>
      </w:tblGrid>
      <w:tr w14:paraId="17AC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5" w:type="dxa"/>
            <w:tcBorders>
              <w:bottom w:val="single" w:color="auto" w:sz="4" w:space="0"/>
            </w:tcBorders>
            <w:noWrap w:val="0"/>
            <w:vAlign w:val="center"/>
          </w:tcPr>
          <w:p w14:paraId="4DEB5D43">
            <w:pPr>
              <w:spacing w:line="360" w:lineRule="auto"/>
              <w:jc w:val="center"/>
              <w:rPr>
                <w:rFonts w:ascii="宋体" w:hAnsi="宋体"/>
                <w:b/>
                <w:bCs/>
                <w:sz w:val="24"/>
                <w:highlight w:val="none"/>
              </w:rPr>
            </w:pPr>
            <w:r>
              <w:rPr>
                <w:rFonts w:hint="eastAsia" w:ascii="宋体" w:hAnsi="宋体"/>
                <w:b/>
                <w:bCs/>
                <w:sz w:val="24"/>
                <w:highlight w:val="none"/>
              </w:rPr>
              <w:t>序号</w:t>
            </w:r>
          </w:p>
        </w:tc>
        <w:tc>
          <w:tcPr>
            <w:tcW w:w="3858" w:type="dxa"/>
            <w:tcBorders>
              <w:bottom w:val="single" w:color="auto" w:sz="4" w:space="0"/>
            </w:tcBorders>
            <w:noWrap w:val="0"/>
            <w:vAlign w:val="center"/>
          </w:tcPr>
          <w:p w14:paraId="72A43C19">
            <w:pPr>
              <w:spacing w:line="360" w:lineRule="auto"/>
              <w:jc w:val="center"/>
              <w:rPr>
                <w:b/>
                <w:sz w:val="24"/>
                <w:highlight w:val="none"/>
              </w:rPr>
            </w:pPr>
            <w:r>
              <w:rPr>
                <w:rFonts w:hint="eastAsia"/>
                <w:b/>
                <w:sz w:val="24"/>
                <w:highlight w:val="none"/>
              </w:rPr>
              <w:t>供应商资格、资质性及其他类似效力要求</w:t>
            </w:r>
          </w:p>
        </w:tc>
        <w:tc>
          <w:tcPr>
            <w:tcW w:w="4854" w:type="dxa"/>
            <w:tcBorders>
              <w:bottom w:val="single" w:color="auto" w:sz="4" w:space="0"/>
            </w:tcBorders>
            <w:noWrap w:val="0"/>
            <w:vAlign w:val="center"/>
          </w:tcPr>
          <w:p w14:paraId="066FE6DC">
            <w:pPr>
              <w:spacing w:line="360" w:lineRule="auto"/>
              <w:jc w:val="center"/>
              <w:rPr>
                <w:rFonts w:ascii="宋体" w:hAnsi="宋体"/>
                <w:b/>
                <w:bCs/>
                <w:sz w:val="24"/>
                <w:highlight w:val="none"/>
              </w:rPr>
            </w:pPr>
            <w:r>
              <w:rPr>
                <w:rFonts w:hint="eastAsia"/>
                <w:b/>
                <w:sz w:val="24"/>
                <w:highlight w:val="none"/>
              </w:rPr>
              <w:t>供应商应当提供的相关证明材料</w:t>
            </w:r>
          </w:p>
        </w:tc>
      </w:tr>
      <w:tr w14:paraId="0030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705" w:type="dxa"/>
            <w:tcBorders>
              <w:top w:val="single" w:color="auto" w:sz="4" w:space="0"/>
              <w:left w:val="single" w:color="auto" w:sz="4" w:space="0"/>
            </w:tcBorders>
            <w:noWrap w:val="0"/>
            <w:vAlign w:val="center"/>
          </w:tcPr>
          <w:p w14:paraId="40E29583">
            <w:pPr>
              <w:spacing w:line="360" w:lineRule="auto"/>
              <w:jc w:val="center"/>
              <w:rPr>
                <w:rFonts w:ascii="宋体" w:hAnsi="宋体" w:cs="宋体"/>
                <w:bCs/>
                <w:sz w:val="24"/>
                <w:highlight w:val="none"/>
                <w:lang w:val="zh-CN"/>
              </w:rPr>
            </w:pPr>
            <w:permStart w:id="69" w:edGrp="everyone" w:colFirst="2" w:colLast="2"/>
            <w:r>
              <w:rPr>
                <w:rFonts w:hint="eastAsia" w:ascii="宋体" w:hAnsi="宋体" w:cs="宋体"/>
                <w:bCs/>
                <w:sz w:val="24"/>
                <w:highlight w:val="none"/>
              </w:rPr>
              <w:t>1</w:t>
            </w:r>
          </w:p>
        </w:tc>
        <w:tc>
          <w:tcPr>
            <w:tcW w:w="3858" w:type="dxa"/>
            <w:tcBorders>
              <w:top w:val="single" w:color="auto" w:sz="4" w:space="0"/>
            </w:tcBorders>
            <w:noWrap w:val="0"/>
            <w:vAlign w:val="center"/>
          </w:tcPr>
          <w:p w14:paraId="519DF939">
            <w:pPr>
              <w:spacing w:line="360" w:lineRule="auto"/>
              <w:rPr>
                <w:sz w:val="24"/>
                <w:highlight w:val="none"/>
              </w:rPr>
            </w:pPr>
            <w:r>
              <w:rPr>
                <w:rFonts w:hint="eastAsia" w:ascii="宋体" w:hAnsi="宋体"/>
                <w:sz w:val="24"/>
                <w:highlight w:val="none"/>
              </w:rPr>
              <w:t>具备独立的承担民事责任能力</w:t>
            </w:r>
            <w:permStart w:id="68" w:edGrp="everyone"/>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法人）</w:t>
            </w:r>
            <w:permEnd w:id="68"/>
            <w:r>
              <w:rPr>
                <w:rFonts w:hint="eastAsia" w:ascii="宋体" w:hAnsi="宋体"/>
                <w:sz w:val="24"/>
                <w:highlight w:val="none"/>
              </w:rPr>
              <w:t>。</w:t>
            </w:r>
          </w:p>
        </w:tc>
        <w:tc>
          <w:tcPr>
            <w:tcW w:w="4854" w:type="dxa"/>
            <w:tcBorders>
              <w:top w:val="single" w:color="auto" w:sz="4" w:space="0"/>
              <w:right w:val="single" w:color="auto" w:sz="4" w:space="0"/>
            </w:tcBorders>
            <w:noWrap w:val="0"/>
            <w:vAlign w:val="center"/>
          </w:tcPr>
          <w:p w14:paraId="53CABA8E">
            <w:pPr>
              <w:spacing w:line="360" w:lineRule="auto"/>
              <w:rPr>
                <w:rFonts w:hint="eastAsia" w:ascii="宋体" w:hAnsi="宋体" w:eastAsia="宋体" w:cs="宋体"/>
                <w:bCs/>
                <w:sz w:val="24"/>
                <w:highlight w:val="none"/>
                <w:lang w:val="zh-CN" w:eastAsia="zh-CN"/>
              </w:rPr>
            </w:pPr>
            <w:r>
              <w:rPr>
                <w:rFonts w:hint="eastAsia" w:ascii="宋体" w:hAnsi="宋体" w:cs="宋体"/>
                <w:bCs/>
                <w:sz w:val="24"/>
                <w:highlight w:val="none"/>
                <w:lang w:val="zh-CN"/>
              </w:rPr>
              <w:t>1</w:t>
            </w:r>
            <w:r>
              <w:rPr>
                <w:rFonts w:hint="eastAsia" w:ascii="宋体" w:hAnsi="宋体" w:cs="宋体"/>
                <w:bCs/>
                <w:sz w:val="24"/>
                <w:highlight w:val="none"/>
              </w:rPr>
              <w:t>.具有统一社会信用代码的</w:t>
            </w:r>
            <w:r>
              <w:rPr>
                <w:rFonts w:hint="eastAsia" w:ascii="宋体" w:hAnsi="宋体" w:cs="宋体"/>
                <w:bCs/>
                <w:sz w:val="24"/>
                <w:highlight w:val="none"/>
                <w:lang w:val="zh-CN"/>
              </w:rPr>
              <w:t>营业执照（副本，复印件）</w:t>
            </w:r>
          </w:p>
          <w:p w14:paraId="5E0A6F8C">
            <w:pPr>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2.</w:t>
            </w:r>
            <w:r>
              <w:rPr>
                <w:rFonts w:hint="eastAsia" w:hAnsi="宋体"/>
                <w:color w:val="auto"/>
                <w:sz w:val="24"/>
              </w:rPr>
              <w:t>若分公司参与投标，在提供第1条约定的总公司资料外，还需提供总公司的授权委托书及分公司营业执照复印件</w:t>
            </w:r>
            <w:r>
              <w:rPr>
                <w:rFonts w:hint="eastAsia" w:ascii="宋体" w:hAnsi="宋体" w:cs="宋体"/>
                <w:bCs/>
                <w:color w:val="auto"/>
                <w:sz w:val="24"/>
                <w:highlight w:val="none"/>
                <w:lang w:val="zh-CN"/>
              </w:rPr>
              <w:t>。</w:t>
            </w:r>
          </w:p>
          <w:p w14:paraId="64BCB850">
            <w:pPr>
              <w:spacing w:line="360" w:lineRule="auto"/>
              <w:rPr>
                <w:rFonts w:ascii="宋体" w:hAnsi="宋体" w:cs="宋体"/>
                <w:bCs/>
                <w:sz w:val="24"/>
                <w:highlight w:val="none"/>
                <w:lang w:val="zh-CN"/>
              </w:rPr>
            </w:pPr>
            <w:r>
              <w:rPr>
                <w:rFonts w:hint="eastAsia" w:ascii="宋体" w:hAnsi="宋体" w:cs="宋体"/>
                <w:bCs/>
                <w:sz w:val="24"/>
                <w:highlight w:val="none"/>
                <w:lang w:val="en-US" w:eastAsia="zh-CN"/>
              </w:rPr>
              <w:t>3</w:t>
            </w:r>
            <w:r>
              <w:rPr>
                <w:rFonts w:hint="eastAsia" w:ascii="宋体" w:hAnsi="宋体" w:cs="宋体"/>
                <w:bCs/>
                <w:sz w:val="24"/>
                <w:highlight w:val="none"/>
              </w:rPr>
              <w:t>.</w:t>
            </w:r>
            <w:r>
              <w:rPr>
                <w:rFonts w:hint="eastAsia" w:ascii="宋体" w:hAnsi="宋体" w:cs="宋体"/>
                <w:bCs/>
                <w:sz w:val="24"/>
                <w:highlight w:val="none"/>
                <w:lang w:val="zh-CN"/>
              </w:rPr>
              <w:t>法定代表人授权书</w:t>
            </w:r>
            <w:r>
              <w:rPr>
                <w:rFonts w:hint="eastAsia" w:ascii="宋体" w:hAnsi="宋体" w:cs="宋体"/>
                <w:bCs/>
                <w:sz w:val="24"/>
                <w:highlight w:val="none"/>
              </w:rPr>
              <w:t>或其他组织授权书或自然人授权书</w:t>
            </w:r>
            <w:r>
              <w:rPr>
                <w:rFonts w:hint="eastAsia" w:ascii="宋体" w:hAnsi="宋体" w:cs="宋体"/>
                <w:bCs/>
                <w:sz w:val="24"/>
                <w:highlight w:val="none"/>
                <w:lang w:val="zh-CN"/>
              </w:rPr>
              <w:t>原件（法定代表人</w:t>
            </w:r>
            <w:r>
              <w:rPr>
                <w:rFonts w:hint="eastAsia" w:ascii="宋体" w:hAnsi="宋体" w:cs="宋体"/>
                <w:bCs/>
                <w:sz w:val="24"/>
                <w:highlight w:val="none"/>
              </w:rPr>
              <w:t>或自然人</w:t>
            </w:r>
            <w:r>
              <w:rPr>
                <w:rFonts w:hint="eastAsia" w:ascii="宋体" w:hAnsi="宋体" w:cs="宋体"/>
                <w:bCs/>
                <w:sz w:val="24"/>
                <w:highlight w:val="none"/>
                <w:lang w:val="zh-CN"/>
              </w:rPr>
              <w:t>亲自参加投标，无需提供授权书）。</w:t>
            </w:r>
          </w:p>
          <w:p w14:paraId="1EB11673">
            <w:pPr>
              <w:widowControl w:val="0"/>
              <w:spacing w:line="360" w:lineRule="auto"/>
              <w:rPr>
                <w:rFonts w:hint="eastAsia" w:ascii="宋体" w:hAnsi="宋体" w:cs="宋体"/>
                <w:bCs/>
                <w:sz w:val="24"/>
                <w:highlight w:val="none"/>
                <w:lang w:val="zh-CN"/>
              </w:rPr>
            </w:pPr>
            <w:r>
              <w:rPr>
                <w:rFonts w:hint="eastAsia" w:ascii="宋体" w:hAnsi="宋体" w:cs="宋体"/>
                <w:bCs/>
                <w:sz w:val="24"/>
                <w:highlight w:val="none"/>
                <w:lang w:val="en-US" w:eastAsia="zh-CN"/>
              </w:rPr>
              <w:t>4</w:t>
            </w:r>
            <w:r>
              <w:rPr>
                <w:rFonts w:hint="eastAsia" w:ascii="宋体" w:hAnsi="宋体" w:cs="宋体"/>
                <w:bCs/>
                <w:sz w:val="24"/>
                <w:highlight w:val="none"/>
              </w:rPr>
              <w:t>.法定代表人/主要负责人/自然人和授权代表人身份证复印件</w:t>
            </w:r>
            <w:r>
              <w:rPr>
                <w:rFonts w:hint="eastAsia" w:ascii="宋体" w:hAnsi="宋体" w:cs="宋体"/>
                <w:bCs/>
                <w:sz w:val="24"/>
                <w:highlight w:val="none"/>
                <w:lang w:val="zh-CN"/>
              </w:rPr>
              <w:t>。</w:t>
            </w:r>
          </w:p>
          <w:p w14:paraId="41D3A368">
            <w:pPr>
              <w:spacing w:line="360" w:lineRule="auto"/>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.以上文件均需加盖单位公章或签字。</w:t>
            </w:r>
          </w:p>
        </w:tc>
      </w:tr>
      <w:permEnd w:id="69"/>
      <w:tr w14:paraId="18EF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05" w:type="dxa"/>
            <w:tcBorders>
              <w:left w:val="single" w:color="auto" w:sz="4" w:space="0"/>
            </w:tcBorders>
            <w:noWrap w:val="0"/>
            <w:vAlign w:val="center"/>
          </w:tcPr>
          <w:p w14:paraId="32E1826A">
            <w:pPr>
              <w:spacing w:line="360" w:lineRule="auto"/>
              <w:jc w:val="center"/>
              <w:rPr>
                <w:rFonts w:ascii="宋体" w:hAnsi="宋体" w:cs="宋体"/>
                <w:bCs/>
                <w:sz w:val="24"/>
                <w:highlight w:val="none"/>
              </w:rPr>
            </w:pPr>
            <w:permStart w:id="70" w:edGrp="everyone" w:colFirst="2" w:colLast="2"/>
            <w:r>
              <w:rPr>
                <w:rFonts w:hint="eastAsia" w:ascii="宋体" w:hAnsi="宋体" w:cs="宋体"/>
                <w:bCs/>
                <w:sz w:val="24"/>
                <w:highlight w:val="none"/>
              </w:rPr>
              <w:t>2</w:t>
            </w:r>
          </w:p>
        </w:tc>
        <w:tc>
          <w:tcPr>
            <w:tcW w:w="3858" w:type="dxa"/>
            <w:noWrap w:val="0"/>
            <w:vAlign w:val="center"/>
          </w:tcPr>
          <w:p w14:paraId="5D338CCF">
            <w:pPr>
              <w:spacing w:line="360" w:lineRule="auto"/>
              <w:rPr>
                <w:rFonts w:ascii="宋体" w:hAnsi="宋体"/>
                <w:sz w:val="24"/>
                <w:highlight w:val="none"/>
              </w:rPr>
            </w:pPr>
            <w:r>
              <w:rPr>
                <w:rFonts w:hint="eastAsia" w:ascii="宋体" w:hAnsi="宋体" w:cs="宋体"/>
                <w:spacing w:val="-2"/>
                <w:sz w:val="24"/>
                <w:szCs w:val="24"/>
                <w:highlight w:val="none"/>
              </w:rPr>
              <w:t>具有良好的商业信誉和健全的财务会计制度。</w:t>
            </w:r>
          </w:p>
        </w:tc>
        <w:tc>
          <w:tcPr>
            <w:tcW w:w="4854" w:type="dxa"/>
            <w:tcBorders>
              <w:right w:val="single" w:color="auto" w:sz="4" w:space="0"/>
            </w:tcBorders>
            <w:noWrap w:val="0"/>
            <w:vAlign w:val="center"/>
          </w:tcPr>
          <w:p w14:paraId="7DDF9739">
            <w:pPr>
              <w:spacing w:line="360" w:lineRule="auto"/>
              <w:rPr>
                <w:rFonts w:ascii="宋体" w:hAnsi="宋体" w:cs="宋体"/>
                <w:bCs/>
                <w:sz w:val="24"/>
                <w:highlight w:val="none"/>
                <w:lang w:val="zh-CN"/>
              </w:rPr>
            </w:pPr>
            <w:r>
              <w:rPr>
                <w:rFonts w:hint="eastAsia" w:ascii="宋体" w:hAnsi="宋体" w:cs="宋体"/>
                <w:bCs/>
                <w:sz w:val="24"/>
                <w:highlight w:val="none"/>
                <w:lang w:val="zh-CN"/>
              </w:rPr>
              <w:t>供应商自拟承诺函，承诺</w:t>
            </w:r>
            <w:r>
              <w:rPr>
                <w:rFonts w:hint="eastAsia" w:ascii="宋体" w:hAnsi="宋体" w:cs="宋体"/>
                <w:spacing w:val="-2"/>
                <w:sz w:val="24"/>
                <w:szCs w:val="24"/>
                <w:highlight w:val="none"/>
              </w:rPr>
              <w:t>具有良好的商业信誉和健全的财务会计制度</w:t>
            </w:r>
            <w:r>
              <w:rPr>
                <w:rFonts w:hint="eastAsia" w:ascii="宋体" w:hAnsi="宋体" w:cs="宋体"/>
                <w:bCs/>
                <w:sz w:val="24"/>
                <w:highlight w:val="none"/>
                <w:lang w:val="zh-CN"/>
              </w:rPr>
              <w:t>，格式详见第六章</w:t>
            </w:r>
          </w:p>
        </w:tc>
      </w:tr>
      <w:permEnd w:id="70"/>
      <w:tr w14:paraId="4573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05" w:type="dxa"/>
            <w:tcBorders>
              <w:left w:val="single" w:color="auto" w:sz="4" w:space="0"/>
              <w:bottom w:val="single" w:color="auto" w:sz="4" w:space="0"/>
            </w:tcBorders>
            <w:noWrap w:val="0"/>
            <w:vAlign w:val="center"/>
          </w:tcPr>
          <w:p w14:paraId="00635451">
            <w:pPr>
              <w:spacing w:line="360" w:lineRule="auto"/>
              <w:jc w:val="center"/>
              <w:rPr>
                <w:rFonts w:ascii="宋体" w:hAnsi="宋体" w:cs="宋体"/>
                <w:bCs/>
                <w:sz w:val="24"/>
                <w:highlight w:val="none"/>
              </w:rPr>
            </w:pPr>
            <w:permStart w:id="71" w:edGrp="everyone" w:colFirst="2" w:colLast="2"/>
            <w:r>
              <w:rPr>
                <w:rFonts w:hint="eastAsia" w:ascii="宋体" w:hAnsi="宋体" w:cs="宋体"/>
                <w:bCs/>
                <w:sz w:val="24"/>
                <w:highlight w:val="none"/>
              </w:rPr>
              <w:t>3</w:t>
            </w:r>
          </w:p>
        </w:tc>
        <w:tc>
          <w:tcPr>
            <w:tcW w:w="3858" w:type="dxa"/>
            <w:tcBorders>
              <w:bottom w:val="single" w:color="auto" w:sz="4" w:space="0"/>
            </w:tcBorders>
            <w:noWrap w:val="0"/>
            <w:vAlign w:val="center"/>
          </w:tcPr>
          <w:p w14:paraId="7AA65CBA">
            <w:pPr>
              <w:spacing w:line="360" w:lineRule="auto"/>
              <w:rPr>
                <w:rFonts w:hint="eastAsia"/>
                <w:sz w:val="24"/>
                <w:highlight w:val="none"/>
                <w:lang w:val="zh-CN"/>
              </w:rPr>
            </w:pPr>
            <w:r>
              <w:rPr>
                <w:rFonts w:hint="eastAsia" w:ascii="宋体" w:hAnsi="宋体"/>
                <w:sz w:val="24"/>
                <w:highlight w:val="none"/>
              </w:rPr>
              <w:t>具有履行合同所必需的设备和专业技术能力。</w:t>
            </w:r>
          </w:p>
        </w:tc>
        <w:tc>
          <w:tcPr>
            <w:tcW w:w="4854" w:type="dxa"/>
            <w:tcBorders>
              <w:bottom w:val="single" w:color="auto" w:sz="4" w:space="0"/>
              <w:right w:val="single" w:color="auto" w:sz="4" w:space="0"/>
            </w:tcBorders>
            <w:noWrap w:val="0"/>
            <w:vAlign w:val="center"/>
          </w:tcPr>
          <w:p w14:paraId="50EA9D26">
            <w:pPr>
              <w:spacing w:line="360" w:lineRule="auto"/>
              <w:rPr>
                <w:rFonts w:hint="eastAsia" w:ascii="宋体" w:hAnsi="宋体" w:cs="宋体"/>
                <w:bCs/>
                <w:sz w:val="24"/>
                <w:highlight w:val="none"/>
                <w:lang w:val="zh-CN"/>
              </w:rPr>
            </w:pPr>
            <w:r>
              <w:rPr>
                <w:rFonts w:hint="eastAsia" w:ascii="宋体" w:hAnsi="宋体" w:cs="宋体"/>
                <w:bCs/>
                <w:sz w:val="24"/>
                <w:highlight w:val="none"/>
                <w:lang w:val="zh-CN"/>
              </w:rPr>
              <w:t>供应商提供单位</w:t>
            </w:r>
            <w:r>
              <w:rPr>
                <w:rFonts w:hint="eastAsia" w:ascii="宋体" w:hAnsi="宋体"/>
                <w:sz w:val="24"/>
                <w:highlight w:val="none"/>
              </w:rPr>
              <w:t>具有履行合同所必须的设备和专业技术能力</w:t>
            </w:r>
            <w:r>
              <w:rPr>
                <w:rFonts w:hint="eastAsia" w:ascii="宋体" w:hAnsi="宋体" w:cs="宋体"/>
                <w:bCs/>
                <w:sz w:val="24"/>
                <w:highlight w:val="none"/>
                <w:lang w:val="zh-CN"/>
              </w:rPr>
              <w:t>情况说明或同等效力的其他证明材料或承诺函，格式详见第六章。</w:t>
            </w:r>
          </w:p>
        </w:tc>
      </w:tr>
      <w:permEnd w:id="71"/>
      <w:tr w14:paraId="5660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05" w:type="dxa"/>
            <w:tcBorders>
              <w:left w:val="single" w:color="auto" w:sz="4" w:space="0"/>
              <w:bottom w:val="single" w:color="auto" w:sz="4" w:space="0"/>
            </w:tcBorders>
            <w:noWrap w:val="0"/>
            <w:vAlign w:val="center"/>
          </w:tcPr>
          <w:p w14:paraId="5880E12E">
            <w:pPr>
              <w:spacing w:line="360" w:lineRule="auto"/>
              <w:jc w:val="center"/>
              <w:rPr>
                <w:rFonts w:hint="eastAsia" w:ascii="宋体" w:hAnsi="宋体" w:cs="宋体"/>
                <w:bCs/>
                <w:sz w:val="24"/>
                <w:highlight w:val="none"/>
                <w:lang w:val="zh-CN"/>
              </w:rPr>
            </w:pPr>
            <w:permStart w:id="72" w:edGrp="everyone" w:colFirst="2" w:colLast="2"/>
            <w:r>
              <w:rPr>
                <w:rFonts w:hint="eastAsia" w:ascii="宋体" w:hAnsi="宋体" w:cs="宋体"/>
                <w:bCs/>
                <w:sz w:val="24"/>
                <w:highlight w:val="none"/>
              </w:rPr>
              <w:t>4</w:t>
            </w:r>
          </w:p>
        </w:tc>
        <w:tc>
          <w:tcPr>
            <w:tcW w:w="3858" w:type="dxa"/>
            <w:tcBorders>
              <w:bottom w:val="single" w:color="auto" w:sz="4" w:space="0"/>
            </w:tcBorders>
            <w:noWrap w:val="0"/>
            <w:vAlign w:val="center"/>
          </w:tcPr>
          <w:p w14:paraId="0705AB77">
            <w:pPr>
              <w:spacing w:line="360" w:lineRule="auto"/>
              <w:rPr>
                <w:rFonts w:ascii="宋体" w:hAnsi="宋体" w:cs="宋体"/>
                <w:bCs/>
                <w:sz w:val="24"/>
                <w:highlight w:val="none"/>
                <w:lang w:val="zh-CN"/>
              </w:rPr>
            </w:pPr>
            <w:r>
              <w:rPr>
                <w:rFonts w:hint="eastAsia" w:ascii="宋体" w:hAnsi="宋体" w:cs="宋体"/>
                <w:bCs/>
                <w:sz w:val="24"/>
                <w:highlight w:val="none"/>
                <w:lang w:val="zh-CN"/>
              </w:rPr>
              <w:t>具有依法缴纳税收和社会保障资金的良好记录。</w:t>
            </w:r>
          </w:p>
        </w:tc>
        <w:tc>
          <w:tcPr>
            <w:tcW w:w="4854" w:type="dxa"/>
            <w:tcBorders>
              <w:bottom w:val="single" w:color="auto" w:sz="4" w:space="0"/>
              <w:right w:val="single" w:color="auto" w:sz="4" w:space="0"/>
            </w:tcBorders>
            <w:noWrap w:val="0"/>
            <w:vAlign w:val="center"/>
          </w:tcPr>
          <w:p w14:paraId="73CACAA6">
            <w:pPr>
              <w:spacing w:line="360" w:lineRule="auto"/>
              <w:rPr>
                <w:rFonts w:ascii="宋体" w:hAnsi="宋体" w:cs="宋体"/>
                <w:bCs/>
                <w:sz w:val="24"/>
                <w:highlight w:val="none"/>
                <w:lang w:val="zh-CN"/>
              </w:rPr>
            </w:pPr>
            <w:r>
              <w:rPr>
                <w:rFonts w:hint="eastAsia" w:ascii="宋体" w:hAnsi="宋体" w:cs="宋体"/>
                <w:bCs/>
                <w:sz w:val="24"/>
                <w:highlight w:val="none"/>
                <w:lang w:val="zh-CN"/>
              </w:rPr>
              <w:t>提供承诺函，格式详见第六章。</w:t>
            </w:r>
          </w:p>
        </w:tc>
      </w:tr>
      <w:permEnd w:id="72"/>
      <w:tr w14:paraId="3056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5" w:type="dxa"/>
            <w:tcBorders>
              <w:left w:val="single" w:color="auto" w:sz="4" w:space="0"/>
              <w:bottom w:val="single" w:color="auto" w:sz="4" w:space="0"/>
            </w:tcBorders>
            <w:noWrap w:val="0"/>
            <w:vAlign w:val="center"/>
          </w:tcPr>
          <w:p w14:paraId="030A9C4F">
            <w:pPr>
              <w:spacing w:line="360" w:lineRule="auto"/>
              <w:jc w:val="center"/>
              <w:rPr>
                <w:rFonts w:ascii="宋体" w:hAnsi="宋体" w:cs="宋体"/>
                <w:bCs/>
                <w:sz w:val="24"/>
                <w:highlight w:val="none"/>
              </w:rPr>
            </w:pPr>
            <w:permStart w:id="73" w:edGrp="everyone" w:colFirst="2" w:colLast="2"/>
            <w:r>
              <w:rPr>
                <w:rFonts w:hint="eastAsia" w:ascii="宋体" w:hAnsi="宋体" w:cs="宋体"/>
                <w:bCs/>
                <w:sz w:val="24"/>
                <w:highlight w:val="none"/>
              </w:rPr>
              <w:t>5</w:t>
            </w:r>
          </w:p>
        </w:tc>
        <w:tc>
          <w:tcPr>
            <w:tcW w:w="3858" w:type="dxa"/>
            <w:tcBorders>
              <w:bottom w:val="single" w:color="auto" w:sz="4" w:space="0"/>
            </w:tcBorders>
            <w:noWrap w:val="0"/>
            <w:vAlign w:val="center"/>
          </w:tcPr>
          <w:p w14:paraId="1CB3D232">
            <w:pPr>
              <w:spacing w:line="360" w:lineRule="auto"/>
              <w:rPr>
                <w:rFonts w:hint="eastAsia" w:ascii="宋体" w:hAnsi="宋体" w:cs="宋体"/>
                <w:bCs/>
                <w:sz w:val="24"/>
                <w:highlight w:val="none"/>
                <w:lang w:val="zh-CN"/>
              </w:rPr>
            </w:pPr>
            <w:r>
              <w:rPr>
                <w:rFonts w:hint="eastAsia" w:ascii="宋体" w:hAnsi="宋体" w:cs="宋体"/>
                <w:spacing w:val="-2"/>
                <w:sz w:val="24"/>
                <w:szCs w:val="24"/>
                <w:highlight w:val="none"/>
              </w:rPr>
              <w:t>参加本次采购活动前三年内，在经营活动中没有重大违法记录。</w:t>
            </w:r>
          </w:p>
        </w:tc>
        <w:tc>
          <w:tcPr>
            <w:tcW w:w="4854" w:type="dxa"/>
            <w:tcBorders>
              <w:bottom w:val="single" w:color="auto" w:sz="4" w:space="0"/>
              <w:right w:val="single" w:color="auto" w:sz="4" w:space="0"/>
            </w:tcBorders>
            <w:noWrap w:val="0"/>
            <w:vAlign w:val="center"/>
          </w:tcPr>
          <w:p w14:paraId="196E35AE">
            <w:pPr>
              <w:spacing w:line="360" w:lineRule="auto"/>
              <w:rPr>
                <w:rFonts w:hint="eastAsia" w:ascii="宋体" w:hAnsi="宋体" w:cs="宋体"/>
                <w:bCs/>
                <w:sz w:val="24"/>
                <w:highlight w:val="none"/>
                <w:lang w:val="zh-CN"/>
              </w:rPr>
            </w:pPr>
            <w:r>
              <w:rPr>
                <w:rFonts w:hint="eastAsia" w:ascii="宋体" w:hAnsi="宋体" w:cs="宋体"/>
                <w:bCs/>
                <w:sz w:val="24"/>
                <w:highlight w:val="none"/>
                <w:lang w:val="zh-CN"/>
              </w:rPr>
              <w:t>提供承诺函，格式详见第六章。</w:t>
            </w:r>
          </w:p>
        </w:tc>
      </w:tr>
      <w:permEnd w:id="73"/>
      <w:tr w14:paraId="391E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5" w:type="dxa"/>
            <w:noWrap w:val="0"/>
            <w:vAlign w:val="center"/>
          </w:tcPr>
          <w:p w14:paraId="495CA4E5">
            <w:pPr>
              <w:spacing w:line="360" w:lineRule="auto"/>
              <w:jc w:val="center"/>
              <w:rPr>
                <w:rFonts w:hint="eastAsia" w:ascii="宋体" w:hAnsi="宋体" w:cs="宋体"/>
                <w:bCs/>
                <w:sz w:val="24"/>
                <w:highlight w:val="none"/>
              </w:rPr>
            </w:pPr>
            <w:permStart w:id="74" w:edGrp="everyone" w:colFirst="2" w:colLast="2"/>
            <w:r>
              <w:rPr>
                <w:rFonts w:hint="eastAsia" w:ascii="宋体" w:hAnsi="宋体" w:cs="宋体"/>
                <w:bCs/>
                <w:sz w:val="24"/>
                <w:highlight w:val="none"/>
              </w:rPr>
              <w:t>6</w:t>
            </w:r>
          </w:p>
        </w:tc>
        <w:tc>
          <w:tcPr>
            <w:tcW w:w="3858" w:type="dxa"/>
            <w:noWrap w:val="0"/>
            <w:vAlign w:val="center"/>
          </w:tcPr>
          <w:p w14:paraId="3CFD0D9B">
            <w:pPr>
              <w:spacing w:line="360" w:lineRule="auto"/>
              <w:jc w:val="left"/>
              <w:rPr>
                <w:rFonts w:hint="eastAsia"/>
                <w:sz w:val="24"/>
                <w:highlight w:val="none"/>
              </w:rPr>
            </w:pPr>
            <w:r>
              <w:rPr>
                <w:rFonts w:hint="eastAsia" w:ascii="宋体" w:hAnsi="宋体"/>
                <w:sz w:val="24"/>
                <w:highlight w:val="none"/>
              </w:rPr>
              <w:t>法律和行政法规规定的其他条件。</w:t>
            </w:r>
          </w:p>
        </w:tc>
        <w:tc>
          <w:tcPr>
            <w:tcW w:w="4854" w:type="dxa"/>
            <w:noWrap w:val="0"/>
            <w:vAlign w:val="center"/>
          </w:tcPr>
          <w:p w14:paraId="09F377F5">
            <w:pPr>
              <w:spacing w:line="360" w:lineRule="auto"/>
              <w:rPr>
                <w:rFonts w:ascii="宋体" w:hAnsi="宋体"/>
                <w:sz w:val="24"/>
                <w:highlight w:val="none"/>
              </w:rPr>
            </w:pPr>
            <w:r>
              <w:rPr>
                <w:rFonts w:hint="eastAsia" w:ascii="宋体" w:hAnsi="宋体" w:cs="宋体"/>
                <w:bCs/>
                <w:sz w:val="24"/>
                <w:highlight w:val="none"/>
                <w:lang w:val="zh-CN"/>
              </w:rPr>
              <w:t>提供承诺函，格式详见第六章。</w:t>
            </w:r>
          </w:p>
        </w:tc>
      </w:tr>
      <w:permEnd w:id="74"/>
      <w:tr w14:paraId="7655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5" w:type="dxa"/>
            <w:noWrap w:val="0"/>
            <w:vAlign w:val="center"/>
          </w:tcPr>
          <w:p w14:paraId="0DEBD156">
            <w:pPr>
              <w:spacing w:line="360" w:lineRule="auto"/>
              <w:jc w:val="center"/>
              <w:rPr>
                <w:rFonts w:ascii="宋体" w:hAnsi="宋体" w:cs="宋体"/>
                <w:bCs/>
                <w:sz w:val="24"/>
                <w:highlight w:val="none"/>
              </w:rPr>
            </w:pPr>
            <w:permStart w:id="75" w:edGrp="everyone" w:colFirst="2" w:colLast="2"/>
            <w:r>
              <w:rPr>
                <w:rFonts w:hint="eastAsia" w:ascii="宋体" w:hAnsi="宋体" w:cs="宋体"/>
                <w:bCs/>
                <w:sz w:val="24"/>
                <w:highlight w:val="none"/>
              </w:rPr>
              <w:t>7</w:t>
            </w:r>
          </w:p>
        </w:tc>
        <w:tc>
          <w:tcPr>
            <w:tcW w:w="3858" w:type="dxa"/>
            <w:noWrap w:val="0"/>
            <w:vAlign w:val="center"/>
          </w:tcPr>
          <w:p w14:paraId="7945B8AF">
            <w:pPr>
              <w:spacing w:line="360" w:lineRule="auto"/>
              <w:rPr>
                <w:rFonts w:hint="eastAsia" w:ascii="宋体" w:hAnsi="宋体"/>
                <w:sz w:val="24"/>
                <w:highlight w:val="none"/>
              </w:rPr>
            </w:pPr>
            <w:r>
              <w:rPr>
                <w:rFonts w:hint="eastAsia" w:ascii="宋体" w:hAnsi="宋体"/>
                <w:sz w:val="24"/>
                <w:highlight w:val="none"/>
              </w:rPr>
              <w:t>根据采购项目提出的特殊条件。</w:t>
            </w:r>
          </w:p>
        </w:tc>
        <w:tc>
          <w:tcPr>
            <w:tcW w:w="4854" w:type="dxa"/>
            <w:noWrap w:val="0"/>
            <w:vAlign w:val="center"/>
          </w:tcPr>
          <w:p w14:paraId="5C4E836F">
            <w:pPr>
              <w:pStyle w:val="2"/>
              <w:spacing w:line="360" w:lineRule="auto"/>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sz w:val="24"/>
                <w:highlight w:val="none"/>
                <w:lang w:val="en-US" w:eastAsia="zh-CN"/>
              </w:rPr>
              <w:t>提供</w:t>
            </w:r>
            <w:r>
              <w:rPr>
                <w:rFonts w:hint="eastAsia" w:ascii="宋体" w:hAnsi="宋体" w:cs="宋体"/>
                <w:bCs/>
                <w:sz w:val="24"/>
                <w:highlight w:val="none"/>
                <w:lang w:eastAsia="zh-CN"/>
              </w:rPr>
              <w:t>律师事务所执业许可证</w:t>
            </w:r>
            <w:r>
              <w:rPr>
                <w:rFonts w:hint="eastAsia" w:ascii="宋体" w:hAnsi="宋体" w:cs="宋体"/>
                <w:bCs/>
                <w:sz w:val="24"/>
                <w:highlight w:val="none"/>
                <w:lang w:val="zh-CN"/>
              </w:rPr>
              <w:t>（副本，复印件），</w:t>
            </w:r>
            <w:r>
              <w:rPr>
                <w:rFonts w:hint="eastAsia" w:ascii="宋体" w:hAnsi="宋体" w:cs="Times New Roman"/>
                <w:color w:val="auto"/>
                <w:sz w:val="24"/>
                <w:highlight w:val="none"/>
                <w:lang w:val="en-US" w:eastAsia="zh-CN"/>
              </w:rPr>
              <w:t>拟投入本项目</w:t>
            </w:r>
            <w:r>
              <w:rPr>
                <w:rFonts w:hint="eastAsia" w:ascii="宋体" w:hAnsi="宋体" w:eastAsia="宋体" w:cs="Times New Roman"/>
                <w:color w:val="auto"/>
                <w:sz w:val="24"/>
                <w:highlight w:val="none"/>
                <w:lang w:val="en-US" w:eastAsia="zh-CN"/>
              </w:rPr>
              <w:t>律师</w:t>
            </w:r>
            <w:r>
              <w:rPr>
                <w:rFonts w:hint="eastAsia" w:ascii="宋体" w:hAnsi="宋体" w:cs="宋体"/>
                <w:color w:val="auto"/>
                <w:sz w:val="24"/>
                <w:highlight w:val="none"/>
                <w:lang w:val="en-US" w:eastAsia="zh-CN"/>
              </w:rPr>
              <w:t>年检合格的</w:t>
            </w:r>
            <w:r>
              <w:rPr>
                <w:rFonts w:hint="eastAsia" w:ascii="宋体" w:hAnsi="宋体" w:cs="宋体"/>
                <w:color w:val="auto"/>
                <w:sz w:val="24"/>
                <w:highlight w:val="none"/>
              </w:rPr>
              <w:t>执业</w:t>
            </w:r>
            <w:r>
              <w:rPr>
                <w:rFonts w:hint="eastAsia" w:ascii="宋体" w:hAnsi="宋体" w:cs="宋体"/>
                <w:color w:val="auto"/>
                <w:sz w:val="24"/>
                <w:highlight w:val="none"/>
                <w:lang w:val="en-US" w:eastAsia="zh-CN"/>
              </w:rPr>
              <w:t>证书</w:t>
            </w:r>
            <w:r>
              <w:rPr>
                <w:rFonts w:hint="eastAsia" w:ascii="宋体" w:hAnsi="宋体" w:eastAsia="宋体" w:cs="Times New Roman"/>
                <w:color w:val="auto"/>
                <w:sz w:val="24"/>
                <w:highlight w:val="none"/>
                <w:lang w:val="en-US" w:eastAsia="zh-CN"/>
              </w:rPr>
              <w:t>复印件</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加盖公章</w:t>
            </w:r>
            <w:r>
              <w:rPr>
                <w:rFonts w:hint="eastAsia" w:ascii="宋体" w:hAnsi="宋体" w:cs="Times New Roman"/>
                <w:color w:val="auto"/>
                <w:sz w:val="24"/>
                <w:highlight w:val="none"/>
                <w:lang w:eastAsia="zh-CN"/>
              </w:rPr>
              <w:t>）</w:t>
            </w:r>
          </w:p>
        </w:tc>
      </w:tr>
      <w:permEnd w:id="75"/>
      <w:tr w14:paraId="67F5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5" w:type="dxa"/>
            <w:noWrap w:val="0"/>
            <w:vAlign w:val="center"/>
          </w:tcPr>
          <w:p w14:paraId="5EEA6366">
            <w:pPr>
              <w:spacing w:line="360" w:lineRule="auto"/>
              <w:jc w:val="center"/>
              <w:rPr>
                <w:rFonts w:ascii="宋体" w:hAnsi="宋体" w:cs="宋体"/>
                <w:bCs/>
                <w:sz w:val="24"/>
                <w:highlight w:val="none"/>
              </w:rPr>
            </w:pPr>
            <w:permStart w:id="76" w:edGrp="everyone" w:colFirst="2" w:colLast="2"/>
            <w:r>
              <w:rPr>
                <w:rFonts w:hint="eastAsia" w:ascii="宋体" w:hAnsi="宋体" w:cs="宋体"/>
                <w:bCs/>
                <w:sz w:val="24"/>
                <w:highlight w:val="none"/>
              </w:rPr>
              <w:t>8</w:t>
            </w:r>
          </w:p>
        </w:tc>
        <w:tc>
          <w:tcPr>
            <w:tcW w:w="3858" w:type="dxa"/>
            <w:noWrap w:val="0"/>
            <w:vAlign w:val="center"/>
          </w:tcPr>
          <w:p w14:paraId="639E8CEC">
            <w:pPr>
              <w:spacing w:line="360" w:lineRule="auto"/>
              <w:rPr>
                <w:rFonts w:hint="eastAsia" w:ascii="宋体" w:hAnsi="宋体"/>
                <w:sz w:val="24"/>
                <w:highlight w:val="none"/>
              </w:rPr>
            </w:pPr>
            <w:r>
              <w:rPr>
                <w:rFonts w:hint="eastAsia" w:ascii="宋体" w:hAnsi="宋体"/>
                <w:sz w:val="24"/>
                <w:highlight w:val="none"/>
              </w:rPr>
              <w:t>磋商保证金缴纳凭证。</w:t>
            </w:r>
          </w:p>
        </w:tc>
        <w:tc>
          <w:tcPr>
            <w:tcW w:w="4854" w:type="dxa"/>
            <w:noWrap w:val="0"/>
            <w:vAlign w:val="center"/>
          </w:tcPr>
          <w:p w14:paraId="27E08A7D">
            <w:pPr>
              <w:spacing w:line="360" w:lineRule="auto"/>
              <w:rPr>
                <w:sz w:val="24"/>
                <w:szCs w:val="24"/>
                <w:highlight w:val="none"/>
              </w:rPr>
            </w:pPr>
            <w:r>
              <w:rPr>
                <w:rFonts w:hint="eastAsia"/>
                <w:sz w:val="24"/>
                <w:szCs w:val="24"/>
                <w:highlight w:val="none"/>
                <w:lang w:val="zh-CN"/>
              </w:rPr>
              <w:t>本项目不收取</w:t>
            </w:r>
            <w:r>
              <w:rPr>
                <w:rFonts w:hint="eastAsia" w:cs="宋体"/>
                <w:sz w:val="24"/>
                <w:szCs w:val="24"/>
                <w:highlight w:val="none"/>
              </w:rPr>
              <w:t>磋商保证金</w:t>
            </w:r>
          </w:p>
        </w:tc>
      </w:tr>
      <w:permEnd w:id="76"/>
      <w:tr w14:paraId="457E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417" w:type="dxa"/>
            <w:gridSpan w:val="3"/>
            <w:noWrap w:val="0"/>
            <w:vAlign w:val="center"/>
          </w:tcPr>
          <w:p w14:paraId="758AAF06">
            <w:pPr>
              <w:spacing w:after="50" w:line="360" w:lineRule="auto"/>
              <w:rPr>
                <w:rFonts w:ascii="宋体" w:hAnsi="宋体"/>
                <w:sz w:val="24"/>
                <w:highlight w:val="none"/>
              </w:rPr>
            </w:pPr>
            <w:r>
              <w:rPr>
                <w:rFonts w:hint="eastAsia" w:ascii="宋体" w:hAnsi="宋体"/>
                <w:b/>
                <w:bCs/>
                <w:sz w:val="24"/>
                <w:highlight w:val="none"/>
              </w:rPr>
              <w:t>备注：1、</w:t>
            </w:r>
            <w:r>
              <w:rPr>
                <w:rFonts w:hint="eastAsia" w:ascii="宋体" w:hAnsi="宋体" w:cs="宋体"/>
                <w:b/>
                <w:bCs/>
                <w:sz w:val="24"/>
                <w:highlight w:val="none"/>
              </w:rPr>
              <w:t>以上须供应商提供承诺函的地方可将须承诺的内容合并至一份承诺函内响应</w:t>
            </w:r>
            <w:r>
              <w:rPr>
                <w:rFonts w:hint="eastAsia" w:ascii="宋体" w:hAnsi="宋体" w:cs="宋体"/>
                <w:bCs/>
                <w:sz w:val="24"/>
                <w:highlight w:val="none"/>
              </w:rPr>
              <w:t>。</w:t>
            </w:r>
          </w:p>
        </w:tc>
      </w:tr>
      <w:bookmarkEnd w:id="671"/>
    </w:tbl>
    <w:p w14:paraId="6269385E">
      <w:pPr>
        <w:rPr>
          <w:rStyle w:val="32"/>
          <w:rFonts w:hint="eastAsia" w:ascii="宋体" w:hAnsi="宋体" w:eastAsia="宋体" w:cs="宋体"/>
          <w:b/>
          <w:bCs/>
          <w:sz w:val="36"/>
          <w:szCs w:val="36"/>
          <w:highlight w:val="none"/>
        </w:rPr>
      </w:pPr>
      <w:bookmarkStart w:id="672" w:name="_Toc19503"/>
      <w:bookmarkStart w:id="673" w:name="_Toc1301"/>
      <w:bookmarkStart w:id="674" w:name="_Toc10516"/>
      <w:bookmarkStart w:id="675" w:name="_Toc9169"/>
      <w:bookmarkStart w:id="676" w:name="_Toc5063"/>
      <w:bookmarkStart w:id="677" w:name="_Toc10544"/>
      <w:bookmarkStart w:id="678" w:name="_Toc30998"/>
      <w:bookmarkStart w:id="679" w:name="_Toc302"/>
      <w:bookmarkStart w:id="680" w:name="_Toc8136"/>
      <w:bookmarkStart w:id="681" w:name="_Toc10"/>
      <w:bookmarkStart w:id="682" w:name="_Toc4967"/>
      <w:bookmarkStart w:id="683" w:name="_Toc14860"/>
      <w:bookmarkStart w:id="684" w:name="_Toc3538"/>
      <w:bookmarkStart w:id="685" w:name="_Toc217446093"/>
      <w:bookmarkStart w:id="686" w:name="_Toc2877"/>
      <w:bookmarkStart w:id="687" w:name="_Toc27567"/>
      <w:bookmarkStart w:id="688" w:name="_Toc4540"/>
      <w:bookmarkStart w:id="689" w:name="_Toc15957"/>
      <w:bookmarkStart w:id="690" w:name="_Toc8027"/>
      <w:bookmarkStart w:id="691" w:name="_Toc19252"/>
      <w:bookmarkStart w:id="692" w:name="_Toc508133978"/>
      <w:r>
        <w:rPr>
          <w:rStyle w:val="32"/>
          <w:rFonts w:hint="eastAsia" w:ascii="宋体" w:hAnsi="宋体" w:eastAsia="宋体" w:cs="宋体"/>
          <w:b/>
          <w:bCs/>
          <w:sz w:val="36"/>
          <w:szCs w:val="36"/>
          <w:highlight w:val="none"/>
        </w:rPr>
        <w:br w:type="page"/>
      </w:r>
    </w:p>
    <w:p w14:paraId="6C8C10EF">
      <w:pPr>
        <w:pStyle w:val="17"/>
        <w:spacing w:before="120" w:beforeLines="50" w:after="120" w:afterLines="50" w:line="360" w:lineRule="auto"/>
        <w:outlineLvl w:val="0"/>
        <w:rPr>
          <w:rFonts w:hAnsi="宋体"/>
          <w:sz w:val="24"/>
          <w:highlight w:val="none"/>
        </w:rPr>
      </w:pPr>
      <w:r>
        <w:rPr>
          <w:rStyle w:val="32"/>
          <w:rFonts w:hint="eastAsia" w:ascii="宋体" w:hAnsi="宋体" w:eastAsia="宋体" w:cs="宋体"/>
          <w:b/>
          <w:bCs/>
          <w:sz w:val="36"/>
          <w:szCs w:val="36"/>
          <w:highlight w:val="none"/>
        </w:rPr>
        <w:t>第五章采购项目技术、服务及其他商务要求</w:t>
      </w:r>
      <w:bookmarkEnd w:id="672"/>
      <w:bookmarkEnd w:id="673"/>
      <w:bookmarkEnd w:id="674"/>
      <w:bookmarkEnd w:id="675"/>
      <w:bookmarkEnd w:id="676"/>
      <w:bookmarkEnd w:id="677"/>
      <w:bookmarkEnd w:id="678"/>
      <w:bookmarkEnd w:id="679"/>
      <w:bookmarkEnd w:id="680"/>
      <w:bookmarkEnd w:id="681"/>
    </w:p>
    <w:bookmarkEnd w:id="682"/>
    <w:bookmarkEnd w:id="683"/>
    <w:bookmarkEnd w:id="684"/>
    <w:bookmarkEnd w:id="685"/>
    <w:bookmarkEnd w:id="686"/>
    <w:bookmarkEnd w:id="687"/>
    <w:bookmarkEnd w:id="688"/>
    <w:bookmarkEnd w:id="689"/>
    <w:bookmarkEnd w:id="690"/>
    <w:bookmarkEnd w:id="691"/>
    <w:bookmarkEnd w:id="692"/>
    <w:p w14:paraId="4E36AA24">
      <w:pPr>
        <w:pStyle w:val="23"/>
        <w:keepNext w:val="0"/>
        <w:keepLines w:val="0"/>
        <w:pageBreakBefore w:val="0"/>
        <w:widowControl/>
        <w:kinsoku/>
        <w:wordWrap/>
        <w:overflowPunct/>
        <w:topLinePunct w:val="0"/>
        <w:autoSpaceDE/>
        <w:autoSpaceDN/>
        <w:bidi w:val="0"/>
        <w:adjustRightInd/>
        <w:snapToGrid/>
        <w:spacing w:before="120" w:after="120" w:line="500" w:lineRule="exact"/>
        <w:ind w:left="0" w:leftChars="0" w:firstLine="562" w:firstLineChars="200"/>
        <w:textAlignment w:val="auto"/>
        <w:rPr>
          <w:rFonts w:hint="eastAsia" w:ascii="宋体" w:hAnsi="宋体" w:cs="宋体"/>
          <w:b/>
          <w:bCs/>
          <w:sz w:val="28"/>
          <w:szCs w:val="28"/>
          <w:highlight w:val="none"/>
        </w:rPr>
      </w:pPr>
      <w:permStart w:id="77" w:edGrp="everyone"/>
      <w:bookmarkStart w:id="693" w:name="_Toc6812"/>
      <w:bookmarkStart w:id="694" w:name="_Toc17121"/>
      <w:bookmarkStart w:id="695" w:name="_Toc3881"/>
      <w:bookmarkStart w:id="696" w:name="_Toc2789"/>
      <w:bookmarkStart w:id="697" w:name="_Toc9922"/>
      <w:bookmarkStart w:id="698" w:name="_Toc28576"/>
      <w:bookmarkStart w:id="699" w:name="_Toc28919"/>
      <w:bookmarkStart w:id="700" w:name="_Toc18399"/>
      <w:bookmarkStart w:id="701" w:name="_Toc592"/>
      <w:bookmarkStart w:id="702" w:name="_Toc19379"/>
      <w:bookmarkStart w:id="703" w:name="_Toc31998"/>
      <w:bookmarkStart w:id="704" w:name="_Toc23605"/>
      <w:bookmarkStart w:id="705" w:name="_Toc15438"/>
      <w:bookmarkStart w:id="706" w:name="_Toc17455"/>
      <w:bookmarkStart w:id="707" w:name="_Toc24291"/>
      <w:bookmarkStart w:id="708" w:name="_Toc284"/>
      <w:bookmarkStart w:id="709" w:name="_Toc20865"/>
      <w:bookmarkStart w:id="710" w:name="_Toc10930"/>
      <w:r>
        <w:rPr>
          <w:rFonts w:hint="eastAsia" w:ascii="宋体" w:hAnsi="宋体" w:cs="宋体"/>
          <w:b/>
          <w:bCs/>
          <w:sz w:val="28"/>
          <w:szCs w:val="28"/>
          <w:highlight w:val="none"/>
        </w:rPr>
        <w:t>一、项目概述</w:t>
      </w:r>
    </w:p>
    <w:p w14:paraId="2C78E93E">
      <w:pPr>
        <w:pStyle w:val="23"/>
        <w:keepNext w:val="0"/>
        <w:keepLines w:val="0"/>
        <w:pageBreakBefore w:val="0"/>
        <w:widowControl/>
        <w:kinsoku/>
        <w:wordWrap/>
        <w:overflowPunct/>
        <w:topLinePunct w:val="0"/>
        <w:autoSpaceDE/>
        <w:autoSpaceDN/>
        <w:bidi w:val="0"/>
        <w:adjustRightInd/>
        <w:snapToGrid/>
        <w:spacing w:before="120" w:after="120" w:line="500" w:lineRule="exact"/>
        <w:ind w:left="0" w:leftChars="0" w:firstLine="0" w:firstLineChars="0"/>
        <w:jc w:val="both"/>
        <w:textAlignment w:val="auto"/>
        <w:outlineLvl w:val="2"/>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pacing w:val="-2"/>
          <w:sz w:val="24"/>
          <w:szCs w:val="24"/>
          <w:highlight w:val="none"/>
          <w:lang w:val="en-US" w:eastAsia="zh-CN"/>
        </w:rPr>
        <w:t>本次采购2026年法律服务，通过聘请专业律师团队，为</w:t>
      </w:r>
      <w:r>
        <w:rPr>
          <w:rFonts w:hint="eastAsia" w:ascii="宋体" w:hAnsi="宋体" w:eastAsia="宋体" w:cs="宋体"/>
          <w:color w:val="auto"/>
          <w:sz w:val="24"/>
          <w:szCs w:val="24"/>
          <w:highlight w:val="none"/>
          <w:lang w:val="en-US" w:eastAsia="zh-CN"/>
        </w:rPr>
        <w:t>泸州裕阳投资发展有限公司及全资子公司、控股子公司以及泸州裕阳投资发展有限公司受托管理的下属一级、二级全资子公司、控股子公司提供法律服务，以保障</w:t>
      </w:r>
      <w:r>
        <w:rPr>
          <w:rFonts w:hint="eastAsia" w:ascii="宋体" w:hAnsi="宋体" w:eastAsia="宋体" w:cs="宋体"/>
          <w:color w:val="auto"/>
          <w:spacing w:val="-2"/>
          <w:sz w:val="24"/>
          <w:szCs w:val="24"/>
          <w:highlight w:val="none"/>
          <w:lang w:val="en-US" w:eastAsia="zh-CN"/>
        </w:rPr>
        <w:t xml:space="preserve">公司利益，有效防范法律风险，规范履职。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 w:val="28"/>
          <w:szCs w:val="28"/>
          <w:highlight w:val="none"/>
          <w:lang w:val="en-US" w:eastAsia="zh-CN"/>
        </w:rPr>
        <w:t xml:space="preserve"> </w:t>
      </w:r>
    </w:p>
    <w:p w14:paraId="28EBD7D1">
      <w:pPr>
        <w:keepNext w:val="0"/>
        <w:keepLines/>
        <w:pageBreakBefore w:val="0"/>
        <w:widowControl/>
        <w:numPr>
          <w:ilvl w:val="0"/>
          <w:numId w:val="0"/>
        </w:numPr>
        <w:kinsoku/>
        <w:wordWrap/>
        <w:overflowPunct/>
        <w:topLinePunct w:val="0"/>
        <w:autoSpaceDE/>
        <w:autoSpaceDN/>
        <w:bidi w:val="0"/>
        <w:adjustRightInd/>
        <w:snapToGrid/>
        <w:spacing w:line="440" w:lineRule="exact"/>
        <w:ind w:left="0" w:leftChars="0" w:firstLine="632" w:firstLineChars="225"/>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lang w:val="en-US" w:eastAsia="zh-CN" w:bidi="ar-SA"/>
        </w:rPr>
        <w:t>二、</w:t>
      </w:r>
      <w:r>
        <w:rPr>
          <w:rFonts w:hint="eastAsia" w:ascii="宋体" w:hAnsi="宋体" w:eastAsia="宋体" w:cs="宋体"/>
          <w:b/>
          <w:bCs/>
          <w:color w:val="auto"/>
          <w:sz w:val="28"/>
          <w:szCs w:val="28"/>
          <w:highlight w:val="none"/>
          <w:lang w:val="en-US" w:eastAsia="zh-CN"/>
        </w:rPr>
        <w:t>服务要求</w:t>
      </w:r>
    </w:p>
    <w:p w14:paraId="7BB5CF49">
      <w:pPr>
        <w:pStyle w:val="2"/>
        <w:numPr>
          <w:ilvl w:val="0"/>
          <w:numId w:val="0"/>
        </w:numPr>
        <w:ind w:leftChars="225"/>
        <w:rPr>
          <w:rFonts w:hint="eastAsia"/>
          <w:lang w:val="en-US" w:eastAsia="zh-CN"/>
        </w:rPr>
      </w:pPr>
      <w:r>
        <w:rPr>
          <w:rFonts w:hint="eastAsia" w:ascii="宋体" w:hAnsi="宋体" w:cs="宋体"/>
          <w:color w:val="auto"/>
          <w:sz w:val="24"/>
          <w:szCs w:val="24"/>
          <w:highlight w:val="none"/>
          <w:lang w:val="en-US" w:eastAsia="zh-CN"/>
        </w:rPr>
        <w:t>（一）服务期限：合同签订之日起1年</w:t>
      </w:r>
    </w:p>
    <w:p w14:paraId="2C1B36E2">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（二）</w:t>
      </w:r>
      <w:r>
        <w:rPr>
          <w:rFonts w:hint="eastAsia" w:ascii="宋体" w:hAnsi="宋体" w:eastAsia="宋体" w:cs="宋体"/>
          <w:color w:val="auto"/>
          <w:spacing w:val="-2"/>
          <w:sz w:val="24"/>
          <w:szCs w:val="24"/>
          <w:highlight w:val="none"/>
          <w:lang w:val="en-US" w:eastAsia="zh-CN"/>
        </w:rPr>
        <w:t xml:space="preserve">聘请的律师事务所需要对公司业务运行中的法律风险有独到的预估，并能提出有效的解决方案。律师事务所安排到公司的服务律师对公司业务熟悉，有较强的能力。 </w:t>
      </w:r>
    </w:p>
    <w:p w14:paraId="069C25CC">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（三）</w:t>
      </w:r>
      <w:r>
        <w:rPr>
          <w:rFonts w:hint="eastAsia" w:ascii="宋体" w:hAnsi="宋体" w:eastAsia="宋体" w:cs="宋体"/>
          <w:color w:val="auto"/>
          <w:spacing w:val="-2"/>
          <w:sz w:val="24"/>
          <w:szCs w:val="24"/>
          <w:highlight w:val="none"/>
          <w:lang w:val="en-US" w:eastAsia="zh-CN"/>
        </w:rPr>
        <w:t xml:space="preserve">律师事务所安排到采购人的律师需具备丰富的诉讼、仲裁实务经验；擅长处理征地拆迁、土地纠纷、各类合同、担保、劳动关系、侵权纠纷等法律事务；能够承担法律文书的起草和审核、法律事务的谈判、出具法律意见等事务。 </w:t>
      </w:r>
    </w:p>
    <w:p w14:paraId="6DCE4271">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（四）</w:t>
      </w:r>
      <w:r>
        <w:rPr>
          <w:rFonts w:hint="eastAsia" w:ascii="宋体" w:hAnsi="宋体" w:eastAsia="宋体" w:cs="宋体"/>
          <w:color w:val="auto"/>
          <w:spacing w:val="-2"/>
          <w:sz w:val="24"/>
          <w:szCs w:val="24"/>
          <w:highlight w:val="none"/>
          <w:lang w:val="en-US" w:eastAsia="zh-CN"/>
        </w:rPr>
        <w:t>常年法律顾问服务内容（包括但不限于提供以下服务）：</w:t>
      </w:r>
    </w:p>
    <w:p w14:paraId="5188E60C">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1.提供法律咨询；</w:t>
      </w:r>
    </w:p>
    <w:p w14:paraId="7E713F61">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2.草拟、审查、修改法律事务文书；</w:t>
      </w:r>
    </w:p>
    <w:p w14:paraId="2203082E">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3.参与采购人的经济合同谈判和其他商务谈判，提供法律意见； </w:t>
      </w:r>
    </w:p>
    <w:p w14:paraId="40D948BE">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4.应邀为采购人的有关法律事务出具法律意见书或进行见证；</w:t>
      </w:r>
    </w:p>
    <w:p w14:paraId="4DFC1712">
      <w:pPr>
        <w:pStyle w:val="2"/>
        <w:spacing w:line="440" w:lineRule="exact"/>
        <w:ind w:firstLine="464"/>
        <w:rPr>
          <w:rFonts w:hint="eastAsia"/>
          <w:highlight w:val="none"/>
          <w:lang w:val="en-US" w:eastAsia="zh-CN"/>
        </w:rPr>
      </w:pPr>
      <w:r>
        <w:rPr>
          <w:rFonts w:hint="eastAsia" w:ascii="宋体" w:hAnsi="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en-US" w:eastAsia="zh-CN"/>
        </w:rPr>
        <w:t>代办企业工商登记等法律事务</w:t>
      </w:r>
      <w:r>
        <w:rPr>
          <w:rFonts w:hint="eastAsia" w:ascii="宋体" w:hAnsi="宋体" w:cs="宋体"/>
          <w:color w:val="auto"/>
          <w:spacing w:val="-2"/>
          <w:sz w:val="24"/>
          <w:szCs w:val="24"/>
          <w:highlight w:val="none"/>
          <w:lang w:val="en-US" w:eastAsia="zh-CN"/>
        </w:rPr>
        <w:t>；</w:t>
      </w:r>
    </w:p>
    <w:p w14:paraId="1DCB3B32">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val="en-US" w:eastAsia="zh-CN"/>
        </w:rPr>
        <w:t>.接受采购人委托，对有关企业或项目进行资信或可行性调查，并出具调查报告；</w:t>
      </w:r>
    </w:p>
    <w:p w14:paraId="043BFC7E">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lang w:val="en-US" w:eastAsia="zh-CN"/>
        </w:rPr>
        <w:t>.代采购人发布有关的声明、公告、致函等法律文书；</w:t>
      </w:r>
    </w:p>
    <w:p w14:paraId="37C8A9EA">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lang w:val="en-US" w:eastAsia="zh-CN"/>
        </w:rPr>
        <w:t>.向采购人提供有关法律信息；</w:t>
      </w:r>
    </w:p>
    <w:p w14:paraId="4EEDB91E">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lang w:val="en-US" w:eastAsia="zh-CN"/>
        </w:rPr>
        <w:t>.每年协助采购人开展宣传4次教育，运用法律手段加强企业管理；</w:t>
      </w:r>
    </w:p>
    <w:p w14:paraId="4AE8BC7F">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lang w:val="en-US" w:eastAsia="zh-CN"/>
        </w:rPr>
        <w:t>.协助采购人参与处理采购人尚未形成的诉讼或仲裁民事、经济、行政争议或其他重大纠纷；</w:t>
      </w:r>
    </w:p>
    <w:p w14:paraId="5EE24205">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w:t>
      </w:r>
      <w:r>
        <w:rPr>
          <w:rFonts w:hint="eastAsia" w:ascii="宋体" w:hAnsi="宋体" w:cs="宋体"/>
          <w:color w:val="auto"/>
          <w:spacing w:val="-2"/>
          <w:sz w:val="24"/>
          <w:szCs w:val="24"/>
          <w:highlight w:val="none"/>
          <w:lang w:val="en-US" w:eastAsia="zh-CN"/>
        </w:rPr>
        <w:t>五</w:t>
      </w:r>
      <w:r>
        <w:rPr>
          <w:rFonts w:hint="eastAsia" w:ascii="宋体" w:hAnsi="宋体" w:eastAsia="宋体" w:cs="宋体"/>
          <w:color w:val="auto"/>
          <w:spacing w:val="-2"/>
          <w:sz w:val="24"/>
          <w:szCs w:val="24"/>
          <w:highlight w:val="none"/>
          <w:lang w:val="en-US" w:eastAsia="zh-CN"/>
        </w:rPr>
        <w:t>）专项法律顾问服务内容（重大项目的非诉服务</w:t>
      </w:r>
      <w:r>
        <w:rPr>
          <w:rFonts w:hint="eastAsia" w:ascii="宋体" w:hAnsi="宋体" w:eastAsia="宋体" w:cs="宋体"/>
          <w:b/>
          <w:bCs/>
          <w:color w:val="auto"/>
          <w:spacing w:val="-2"/>
          <w:sz w:val="24"/>
          <w:szCs w:val="24"/>
          <w:highlight w:val="none"/>
          <w:lang w:val="en-US" w:eastAsia="zh-CN" w:bidi="ar-SA"/>
        </w:rPr>
        <w:t>）：</w:t>
      </w:r>
    </w:p>
    <w:p w14:paraId="478D6585">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firstLineChars="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1.参与重大项目工作会议、谈判，提供项目的专项咨询，并书面出具项目专项法律意见；</w:t>
      </w:r>
    </w:p>
    <w:p w14:paraId="7E8B7D4C">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2.应采购人的需求参与并协助采购人处置突发紧急事件。</w:t>
      </w:r>
    </w:p>
    <w:p w14:paraId="7AE2812C">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（六）</w:t>
      </w:r>
      <w:r>
        <w:rPr>
          <w:rFonts w:hint="eastAsia" w:ascii="宋体" w:hAnsi="宋体" w:eastAsia="宋体" w:cs="宋体"/>
          <w:color w:val="auto"/>
          <w:spacing w:val="-2"/>
          <w:sz w:val="24"/>
          <w:szCs w:val="24"/>
          <w:highlight w:val="none"/>
          <w:lang w:val="en-US" w:eastAsia="zh-CN"/>
        </w:rPr>
        <w:t>案件代理服务。</w:t>
      </w:r>
    </w:p>
    <w:p w14:paraId="32E44673">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default" w:ascii="宋体" w:hAnsi="宋体" w:eastAsia="宋体" w:cs="宋体"/>
          <w:color w:val="auto"/>
          <w:spacing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w:t>
      </w:r>
      <w:r>
        <w:rPr>
          <w:rFonts w:hint="eastAsia" w:ascii="宋体" w:hAnsi="宋体" w:cs="宋体"/>
          <w:color w:val="auto"/>
          <w:spacing w:val="-2"/>
          <w:sz w:val="24"/>
          <w:szCs w:val="24"/>
          <w:highlight w:val="none"/>
          <w:lang w:val="en-US" w:eastAsia="zh-CN" w:bidi="ar-SA"/>
        </w:rPr>
        <w:t>七</w:t>
      </w:r>
      <w:r>
        <w:rPr>
          <w:rFonts w:hint="eastAsia" w:ascii="宋体" w:hAnsi="宋体" w:eastAsia="宋体" w:cs="宋体"/>
          <w:color w:val="auto"/>
          <w:spacing w:val="-2"/>
          <w:sz w:val="24"/>
          <w:szCs w:val="24"/>
          <w:highlight w:val="none"/>
          <w:lang w:val="en-US" w:eastAsia="zh-CN" w:bidi="ar-SA"/>
        </w:rPr>
        <w:t>）其他服务内容：</w:t>
      </w:r>
    </w:p>
    <w:p w14:paraId="67BD178E">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1.帮助采购人建立、完善公司法人治理机制；</w:t>
      </w:r>
    </w:p>
    <w:p w14:paraId="0A51D6E7">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2.审查、修改采购人各项规章制度；</w:t>
      </w:r>
    </w:p>
    <w:p w14:paraId="0E8CCF5F">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3.帮助采购人规范公司业务流程；</w:t>
      </w:r>
    </w:p>
    <w:p w14:paraId="667EA772">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4.不定期对采购人员工进行法律知识培训，每周安排一天集中解答法律问题；</w:t>
      </w:r>
    </w:p>
    <w:p w14:paraId="23AEF0B0">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5.针对采购人在生产经营过程中出现的法律问题每半年向甲方出具法律意见书。</w:t>
      </w:r>
    </w:p>
    <w:p w14:paraId="65F42845">
      <w:pPr>
        <w:shd w:val="clear" w:color="auto" w:fill="auto"/>
        <w:spacing w:line="440" w:lineRule="exact"/>
        <w:ind w:firstLine="464"/>
        <w:rPr>
          <w:rFonts w:hint="default"/>
          <w:highlight w:val="none"/>
          <w:lang w:val="en-US" w:eastAsia="zh-CN"/>
        </w:rPr>
      </w:pPr>
      <w:r>
        <w:rPr>
          <w:rFonts w:hint="eastAsia" w:ascii="宋体" w:hAnsi="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val="en-US" w:eastAsia="zh-CN"/>
        </w:rPr>
        <w:t>若因成交人审查修改合同出现重大过失导致采购人损失的，应由成交人承担赔偿责任。</w:t>
      </w:r>
    </w:p>
    <w:p w14:paraId="1C5ECDE8">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firstLineChars="0"/>
        <w:textAlignment w:val="auto"/>
        <w:rPr>
          <w:rFonts w:hint="eastAsia" w:ascii="宋体" w:hAnsi="宋体" w:eastAsia="宋体" w:cs="宋体"/>
          <w:color w:val="auto"/>
          <w:spacing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w:t>
      </w:r>
      <w:r>
        <w:rPr>
          <w:rFonts w:hint="eastAsia" w:ascii="宋体" w:hAnsi="宋体" w:cs="宋体"/>
          <w:color w:val="auto"/>
          <w:spacing w:val="-2"/>
          <w:sz w:val="24"/>
          <w:szCs w:val="24"/>
          <w:highlight w:val="none"/>
          <w:lang w:val="en-US" w:eastAsia="zh-CN" w:bidi="ar-SA"/>
        </w:rPr>
        <w:t>八</w:t>
      </w:r>
      <w:r>
        <w:rPr>
          <w:rFonts w:hint="eastAsia" w:ascii="宋体" w:hAnsi="宋体" w:eastAsia="宋体" w:cs="宋体"/>
          <w:color w:val="auto"/>
          <w:spacing w:val="-2"/>
          <w:sz w:val="24"/>
          <w:szCs w:val="24"/>
          <w:highlight w:val="none"/>
          <w:lang w:val="en-US" w:eastAsia="zh-CN" w:bidi="ar-SA"/>
        </w:rPr>
        <w:t>）其他法律服务费要求：</w:t>
      </w:r>
    </w:p>
    <w:p w14:paraId="575A325F">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 常年法律顾问费：最高限价5万元（除专项法律服务约定以外的简单事项的律师函、法律意见书、见证已包含在内，不再单独收取费用）；</w:t>
      </w:r>
    </w:p>
    <w:p w14:paraId="00945FCD">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ascii="宋体" w:hAnsi="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2.专项法律服务费：出具法律意见书、见证、尽职调查等非诉法律服务事项。其中尽职调查报告服务费定为2000元/件，市（泸州市）外差旅费实报实销；其他非诉服务：复杂且涉及项目金额100-500万元的，服务费定为3000元/件；重大复杂且金额在500万元-1000万元的，服务费定为5000元/件；重大复杂且金额在1000万元以上的，根据工作量</w:t>
      </w:r>
      <w:r>
        <w:rPr>
          <w:rFonts w:hint="eastAsia" w:ascii="宋体" w:hAnsi="宋体" w:cs="宋体"/>
          <w:color w:val="auto"/>
          <w:sz w:val="24"/>
          <w:szCs w:val="24"/>
          <w:highlight w:val="none"/>
        </w:rPr>
        <w:t>，另行协商，</w:t>
      </w:r>
      <w:r>
        <w:rPr>
          <w:rFonts w:hint="eastAsia" w:ascii="宋体" w:hAnsi="宋体" w:cs="宋体"/>
          <w:b/>
          <w:bCs/>
          <w:color w:val="auto"/>
          <w:sz w:val="24"/>
          <w:szCs w:val="24"/>
          <w:highlight w:val="none"/>
          <w:lang w:val="en-US" w:eastAsia="zh-CN"/>
        </w:rPr>
        <w:t>最高不超过3</w:t>
      </w:r>
      <w:r>
        <w:rPr>
          <w:rFonts w:hint="eastAsia" w:ascii="宋体" w:hAnsi="宋体" w:cs="宋体"/>
          <w:b/>
          <w:bCs/>
          <w:color w:val="auto"/>
          <w:sz w:val="24"/>
          <w:szCs w:val="24"/>
          <w:highlight w:val="none"/>
        </w:rPr>
        <w:t>万元</w:t>
      </w:r>
      <w:r>
        <w:rPr>
          <w:rFonts w:hint="eastAsia" w:ascii="宋体" w:hAnsi="宋体" w:cs="宋体"/>
          <w:b/>
          <w:bCs/>
          <w:color w:val="auto"/>
          <w:sz w:val="24"/>
          <w:szCs w:val="24"/>
          <w:highlight w:val="none"/>
          <w:lang w:val="en-US" w:eastAsia="zh-CN"/>
        </w:rPr>
        <w:t>/件</w:t>
      </w:r>
      <w:r>
        <w:rPr>
          <w:rFonts w:hint="eastAsia" w:ascii="宋体" w:hAnsi="宋体" w:cs="宋体"/>
          <w:color w:val="auto"/>
          <w:sz w:val="24"/>
          <w:szCs w:val="24"/>
          <w:highlight w:val="none"/>
        </w:rPr>
        <w:t>。</w:t>
      </w:r>
    </w:p>
    <w:p w14:paraId="212EBE41">
      <w:pPr>
        <w:spacing w:line="560" w:lineRule="exact"/>
        <w:ind w:firstLine="472"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3.诉讼案件代理费：涉及金额在10万以下案件免费代理至少五件，超过件数最高限价2000元/件；涉及金额</w:t>
      </w:r>
      <w:r>
        <w:rPr>
          <w:rFonts w:hint="eastAsia" w:ascii="宋体" w:hAnsi="宋体" w:cs="宋体"/>
          <w:color w:val="auto"/>
          <w:spacing w:val="-2"/>
          <w:sz w:val="24"/>
          <w:szCs w:val="24"/>
          <w:highlight w:val="none"/>
          <w:lang w:val="en-US" w:eastAsia="zh-CN"/>
        </w:rPr>
        <w:t>在</w:t>
      </w:r>
      <w:r>
        <w:rPr>
          <w:rFonts w:hint="eastAsia" w:ascii="宋体" w:hAnsi="宋体" w:eastAsia="宋体" w:cs="宋体"/>
          <w:color w:val="auto"/>
          <w:spacing w:val="-2"/>
          <w:sz w:val="24"/>
          <w:szCs w:val="24"/>
          <w:highlight w:val="none"/>
          <w:lang w:val="en-US" w:eastAsia="zh-CN"/>
        </w:rPr>
        <w:t>10万</w:t>
      </w:r>
      <w:r>
        <w:rPr>
          <w:rFonts w:hint="eastAsia" w:ascii="宋体" w:hAnsi="宋体" w:cs="宋体"/>
          <w:color w:val="auto"/>
          <w:spacing w:val="-2"/>
          <w:sz w:val="24"/>
          <w:szCs w:val="24"/>
          <w:highlight w:val="none"/>
          <w:lang w:val="en-US" w:eastAsia="zh-CN"/>
        </w:rPr>
        <w:t>到</w:t>
      </w:r>
      <w:r>
        <w:rPr>
          <w:rFonts w:hint="eastAsia" w:ascii="宋体" w:hAnsi="宋体" w:eastAsia="宋体" w:cs="宋体"/>
          <w:color w:val="auto"/>
          <w:spacing w:val="-2"/>
          <w:sz w:val="24"/>
          <w:szCs w:val="24"/>
          <w:highlight w:val="none"/>
          <w:lang w:val="en-US" w:eastAsia="zh-CN"/>
        </w:rPr>
        <w:t>100万元</w:t>
      </w:r>
      <w:r>
        <w:rPr>
          <w:rFonts w:hint="eastAsia" w:ascii="宋体" w:hAnsi="宋体" w:cs="宋体"/>
          <w:color w:val="auto"/>
          <w:spacing w:val="-2"/>
          <w:sz w:val="24"/>
          <w:szCs w:val="24"/>
          <w:highlight w:val="none"/>
          <w:lang w:val="en-US" w:eastAsia="zh-CN"/>
        </w:rPr>
        <w:t>部分</w:t>
      </w:r>
      <w:r>
        <w:rPr>
          <w:rFonts w:hint="eastAsia" w:ascii="宋体" w:hAnsi="宋体" w:eastAsia="宋体" w:cs="宋体"/>
          <w:color w:val="auto"/>
          <w:spacing w:val="-2"/>
          <w:sz w:val="24"/>
          <w:szCs w:val="24"/>
          <w:highlight w:val="none"/>
          <w:lang w:val="en-US" w:eastAsia="zh-CN"/>
        </w:rPr>
        <w:t>，最高限价为标的金额的3%；涉及金额在100万到500万元</w:t>
      </w:r>
      <w:r>
        <w:rPr>
          <w:rFonts w:hint="eastAsia" w:ascii="宋体" w:hAnsi="宋体" w:cs="宋体"/>
          <w:color w:val="auto"/>
          <w:spacing w:val="-2"/>
          <w:sz w:val="24"/>
          <w:szCs w:val="24"/>
          <w:highlight w:val="none"/>
          <w:lang w:val="en-US" w:eastAsia="zh-CN"/>
        </w:rPr>
        <w:t>部分</w:t>
      </w:r>
      <w:r>
        <w:rPr>
          <w:rFonts w:hint="eastAsia" w:ascii="宋体" w:hAnsi="宋体" w:eastAsia="宋体" w:cs="宋体"/>
          <w:color w:val="auto"/>
          <w:spacing w:val="-2"/>
          <w:sz w:val="24"/>
          <w:szCs w:val="24"/>
          <w:highlight w:val="none"/>
          <w:lang w:val="en-US" w:eastAsia="zh-CN"/>
        </w:rPr>
        <w:t>，最高限价为标的金额的2% ；涉及金额在500万到1000万元</w:t>
      </w:r>
      <w:r>
        <w:rPr>
          <w:rFonts w:hint="eastAsia" w:ascii="宋体" w:hAnsi="宋体" w:cs="宋体"/>
          <w:color w:val="auto"/>
          <w:spacing w:val="-2"/>
          <w:sz w:val="24"/>
          <w:szCs w:val="24"/>
          <w:highlight w:val="none"/>
          <w:lang w:val="en-US" w:eastAsia="zh-CN"/>
        </w:rPr>
        <w:t>部分</w:t>
      </w:r>
      <w:r>
        <w:rPr>
          <w:rFonts w:hint="eastAsia" w:ascii="宋体" w:hAnsi="宋体" w:eastAsia="宋体" w:cs="宋体"/>
          <w:color w:val="auto"/>
          <w:spacing w:val="-2"/>
          <w:sz w:val="24"/>
          <w:szCs w:val="24"/>
          <w:highlight w:val="none"/>
          <w:lang w:val="en-US" w:eastAsia="zh-CN"/>
        </w:rPr>
        <w:t>，最高限价为标的金额的1%</w:t>
      </w:r>
      <w:r>
        <w:rPr>
          <w:rFonts w:hint="eastAsia" w:ascii="宋体" w:hAnsi="宋体" w:cs="宋体"/>
          <w:color w:val="auto"/>
          <w:sz w:val="24"/>
          <w:szCs w:val="24"/>
          <w:highlight w:val="none"/>
        </w:rPr>
        <w:t xml:space="preserve"> ；涉及金额在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000万以上</w:t>
      </w:r>
      <w:r>
        <w:rPr>
          <w:rFonts w:hint="eastAsia" w:ascii="宋体" w:hAnsi="宋体" w:cs="宋体"/>
          <w:color w:val="auto"/>
          <w:sz w:val="24"/>
          <w:szCs w:val="24"/>
          <w:highlight w:val="none"/>
          <w:lang w:val="en-US" w:eastAsia="zh-CN"/>
        </w:rPr>
        <w:t>的部分</w:t>
      </w:r>
      <w:r>
        <w:rPr>
          <w:rFonts w:hint="eastAsia" w:ascii="宋体" w:hAnsi="宋体" w:cs="宋体"/>
          <w:color w:val="auto"/>
          <w:sz w:val="24"/>
          <w:szCs w:val="24"/>
          <w:highlight w:val="none"/>
        </w:rPr>
        <w:t>，最高限价为</w:t>
      </w:r>
      <w:r>
        <w:rPr>
          <w:rFonts w:hint="eastAsia" w:ascii="宋体" w:hAnsi="宋体" w:eastAsia="宋体" w:cs="宋体"/>
          <w:color w:val="auto"/>
          <w:spacing w:val="-2"/>
          <w:sz w:val="24"/>
          <w:szCs w:val="24"/>
          <w:highlight w:val="none"/>
          <w:lang w:val="en-US" w:eastAsia="zh-CN"/>
        </w:rPr>
        <w:t>标的金额的0.5%</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lang w:val="en-US" w:eastAsia="zh-CN"/>
        </w:rPr>
        <w:t>诉讼案件代理费分阶段累计计算（报价在最高限价的基础上以报下浮率方式报价，报最高限价的，下浮率即为0%）。</w:t>
      </w:r>
      <w:r>
        <w:rPr>
          <w:rFonts w:hint="eastAsia" w:ascii="宋体" w:hAnsi="宋体" w:cs="宋体"/>
          <w:color w:val="auto"/>
          <w:sz w:val="24"/>
          <w:szCs w:val="24"/>
          <w:highlight w:val="none"/>
          <w:lang w:val="en-US" w:eastAsia="zh-CN"/>
        </w:rPr>
        <w:t>省外案件代理，差旅费实报实销，省内案件代理差旅费自理。二审收费按一审收费的一半记取，再审收费按二审收费的一半记取；执行收费原则上不超过二审收费的60%，具体金额另行协商。</w:t>
      </w:r>
    </w:p>
    <w:p w14:paraId="327CD853">
      <w:pPr>
        <w:shd w:val="clear" w:color="auto" w:fill="auto"/>
        <w:spacing w:line="440" w:lineRule="exact"/>
        <w:ind w:firstLine="464"/>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（九）服务时效性：</w:t>
      </w:r>
    </w:p>
    <w:p w14:paraId="7040F86F">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64"/>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1、因法律业务需要，如重大或紧急事项需要双方现场交涉业务，成交单位应在接到采购人通知后</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小时内达到采购人指定地点。</w:t>
      </w:r>
    </w:p>
    <w:p w14:paraId="178ABBD7">
      <w:pPr>
        <w:shd w:val="clear" w:color="auto" w:fill="auto"/>
        <w:spacing w:line="440" w:lineRule="exact"/>
        <w:ind w:firstLine="464"/>
        <w:rPr>
          <w:rFonts w:hint="default"/>
          <w:lang w:val="en-US" w:eastAsia="zh-CN"/>
        </w:rPr>
      </w:pPr>
      <w:r>
        <w:rPr>
          <w:rFonts w:hint="eastAsia" w:ascii="宋体" w:hAnsi="宋体" w:eastAsia="宋体" w:cs="宋体"/>
          <w:color w:val="auto"/>
          <w:spacing w:val="-2"/>
          <w:sz w:val="24"/>
          <w:szCs w:val="24"/>
          <w:highlight w:val="none"/>
          <w:lang w:val="en-US" w:eastAsia="zh-CN"/>
        </w:rPr>
        <w:t>2.成交单位按采购人要求在合理时间内完成委托案件的立案。</w:t>
      </w:r>
    </w:p>
    <w:p w14:paraId="232FE413">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4"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三、商务要求（实质性要求）</w:t>
      </w:r>
      <w:r>
        <w:rPr>
          <w:rFonts w:hint="eastAsia" w:ascii="宋体" w:hAnsi="宋体" w:eastAsia="宋体" w:cs="宋体"/>
          <w:color w:val="auto"/>
          <w:spacing w:val="-2"/>
          <w:sz w:val="24"/>
          <w:szCs w:val="24"/>
          <w:highlight w:val="none"/>
          <w:lang w:val="en-US" w:eastAsia="zh-CN"/>
        </w:rPr>
        <w:t xml:space="preserve"> </w:t>
      </w:r>
    </w:p>
    <w:p w14:paraId="40AB383A">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（一）服务期限：1年（具体服务时间在签订合同时约定）。 </w:t>
      </w:r>
    </w:p>
    <w:p w14:paraId="11148AAE">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（二）服务地点：采购人指定地点。</w:t>
      </w:r>
    </w:p>
    <w:p w14:paraId="4E8C63B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w:t>
      </w:r>
      <w:r>
        <w:rPr>
          <w:rFonts w:hint="eastAsia" w:ascii="宋体" w:hAnsi="宋体" w:cs="宋体"/>
          <w:color w:val="auto"/>
          <w:spacing w:val="-2"/>
          <w:sz w:val="24"/>
          <w:szCs w:val="24"/>
          <w:highlight w:val="none"/>
          <w:lang w:val="en-US" w:eastAsia="zh-CN"/>
        </w:rPr>
        <w:t>三</w:t>
      </w:r>
      <w:r>
        <w:rPr>
          <w:rFonts w:hint="eastAsia" w:ascii="宋体" w:hAnsi="宋体" w:eastAsia="宋体" w:cs="宋体"/>
          <w:color w:val="auto"/>
          <w:spacing w:val="-2"/>
          <w:sz w:val="24"/>
          <w:szCs w:val="24"/>
          <w:highlight w:val="none"/>
          <w:lang w:val="en-US" w:eastAsia="zh-CN"/>
        </w:rPr>
        <w:t>）付款方式：</w:t>
      </w:r>
    </w:p>
    <w:p w14:paraId="51ED7E2F">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4" w:firstLineChars="200"/>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常年法律顾问费支付方式：</w:t>
      </w:r>
      <w:r>
        <w:rPr>
          <w:rFonts w:hint="eastAsia" w:ascii="宋体" w:hAnsi="宋体" w:eastAsia="宋体" w:cs="宋体"/>
          <w:color w:val="auto"/>
          <w:spacing w:val="-2"/>
          <w:sz w:val="24"/>
          <w:szCs w:val="24"/>
          <w:highlight w:val="none"/>
          <w:lang w:val="en-US" w:eastAsia="zh-CN"/>
        </w:rPr>
        <w:t>合同签订，成交单位提供正式票据后15个工作日内支付合同总金额的50%；成交单位完成年度法律服务、提供总结并提供正式票据后15个工作日内支付剩余费用。其他费用支付方式按具体专项法律服务合同以及代理案件合同约定。</w:t>
      </w:r>
    </w:p>
    <w:p w14:paraId="6E4CA61A">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4" w:firstLineChars="200"/>
        <w:textAlignment w:val="auto"/>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（四）其他要求：</w:t>
      </w:r>
    </w:p>
    <w:p w14:paraId="5B3E6C53">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1. 从磋商起，项目负责人、项目团队成员原则上不得随意更换且项目负责人需全程参与，如果后续项目负责人或个别成员确需更换的，必须书面征得采购人同意，并确保更换后的人员资质、经验、能力标准不予降低。如果发生未经采购人同意擅自更换人员的，采购人有权随时解除合同。   </w:t>
      </w:r>
    </w:p>
    <w:p w14:paraId="446C57F3">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72" w:firstLineChars="200"/>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 成交供应商为采购人的提供日常法律服务时，所产生的</w:t>
      </w:r>
      <w:r>
        <w:rPr>
          <w:rFonts w:hint="eastAsia" w:ascii="宋体" w:hAnsi="宋体" w:eastAsia="宋体" w:cs="宋体"/>
          <w:b/>
          <w:bCs/>
          <w:color w:val="auto"/>
          <w:spacing w:val="-2"/>
          <w:sz w:val="24"/>
          <w:szCs w:val="24"/>
          <w:highlight w:val="none"/>
          <w:lang w:val="en-US" w:eastAsia="zh-CN"/>
        </w:rPr>
        <w:t>交通食宿、查档、复（打）印</w:t>
      </w:r>
      <w:r>
        <w:rPr>
          <w:rFonts w:hint="eastAsia" w:ascii="宋体" w:hAnsi="宋体" w:eastAsia="宋体" w:cs="宋体"/>
          <w:color w:val="auto"/>
          <w:spacing w:val="-2"/>
          <w:sz w:val="24"/>
          <w:szCs w:val="24"/>
          <w:highlight w:val="none"/>
          <w:lang w:val="en-US" w:eastAsia="zh-CN"/>
        </w:rPr>
        <w:t>费等其他费用均包含在报价中。</w:t>
      </w:r>
    </w:p>
    <w:p w14:paraId="50D942B6">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40" w:lineRule="exact"/>
        <w:ind w:leftChars="0" w:firstLine="474" w:firstLineChars="200"/>
        <w:textAlignment w:val="auto"/>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四、考核要求（验收）</w:t>
      </w:r>
    </w:p>
    <w:p w14:paraId="1C806ACF">
      <w:pPr>
        <w:keepNext w:val="0"/>
        <w:keepLines w:val="0"/>
        <w:pageBreakBefore w:val="0"/>
        <w:widowControl/>
        <w:kinsoku/>
        <w:wordWrap/>
        <w:overflowPunct/>
        <w:topLinePunct w:val="0"/>
        <w:autoSpaceDE/>
        <w:autoSpaceDN/>
        <w:bidi w:val="0"/>
        <w:adjustRightInd/>
        <w:snapToGrid/>
        <w:spacing w:line="440" w:lineRule="exact"/>
        <w:ind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采购人有权每季度对成交单位的团队律师进行考核，采购人有权要求成交单位及时更换在服务过程中不负责任，或认为不适合服务的律师。</w:t>
      </w:r>
    </w:p>
    <w:permEnd w:id="77"/>
    <w:p w14:paraId="4E187163">
      <w:pPr>
        <w:spacing w:line="360" w:lineRule="auto"/>
        <w:jc w:val="center"/>
        <w:outlineLvl w:val="0"/>
        <w:rPr>
          <w:rFonts w:ascii="仿宋" w:hAnsi="仿宋" w:eastAsia="仿宋" w:cs="宋体"/>
          <w:sz w:val="36"/>
          <w:szCs w:val="36"/>
          <w:highlight w:val="none"/>
        </w:rPr>
      </w:pPr>
      <w:r>
        <w:rPr>
          <w:rStyle w:val="31"/>
          <w:rFonts w:hint="eastAsia" w:ascii="宋体" w:hAnsi="宋体" w:cs="宋体"/>
          <w:sz w:val="28"/>
          <w:szCs w:val="28"/>
          <w:highlight w:val="none"/>
        </w:rPr>
        <w:br w:type="page"/>
      </w:r>
      <w:bookmarkStart w:id="711" w:name="_Toc16957"/>
      <w:permStart w:id="78" w:edGrp="everyone"/>
      <w:r>
        <w:rPr>
          <w:rStyle w:val="31"/>
          <w:rFonts w:hint="eastAsia"/>
          <w:sz w:val="36"/>
          <w:szCs w:val="36"/>
          <w:highlight w:val="none"/>
        </w:rPr>
        <w:t>第六章</w:t>
      </w:r>
      <w:r>
        <w:rPr>
          <w:rStyle w:val="31"/>
          <w:sz w:val="36"/>
          <w:szCs w:val="36"/>
          <w:highlight w:val="none"/>
        </w:rPr>
        <w:t>响应文件格式</w:t>
      </w:r>
      <w:bookmarkEnd w:id="579"/>
      <w:bookmarkEnd w:id="580"/>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Start w:id="712" w:name="_Toc217446082"/>
      <w:bookmarkStart w:id="713" w:name="_Toc508133973"/>
    </w:p>
    <w:p w14:paraId="37A97BDA">
      <w:pPr>
        <w:spacing w:line="360" w:lineRule="auto"/>
        <w:rPr>
          <w:rFonts w:hint="eastAsia" w:hAnsi="宋体" w:eastAsia="宋体"/>
          <w:sz w:val="24"/>
          <w:highlight w:val="none"/>
          <w:lang w:eastAsia="zh-CN"/>
        </w:rPr>
      </w:pPr>
    </w:p>
    <w:p w14:paraId="5BAAE16F">
      <w:pPr>
        <w:autoSpaceDE w:val="0"/>
        <w:autoSpaceDN w:val="0"/>
        <w:adjustRightInd w:val="0"/>
        <w:spacing w:line="360" w:lineRule="auto"/>
        <w:ind w:right="745" w:rightChars="355"/>
        <w:jc w:val="center"/>
        <w:rPr>
          <w:rFonts w:hAnsi="宋体"/>
          <w:sz w:val="84"/>
          <w:szCs w:val="84"/>
          <w:highlight w:val="none"/>
        </w:rPr>
      </w:pPr>
      <w:r>
        <w:rPr>
          <w:rFonts w:hAnsi="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4725035</wp:posOffset>
                </wp:positionH>
                <wp:positionV relativeFrom="paragraph">
                  <wp:posOffset>299085</wp:posOffset>
                </wp:positionV>
                <wp:extent cx="1061720" cy="495300"/>
                <wp:effectExtent l="4445" t="4445" r="19685" b="14605"/>
                <wp:wrapNone/>
                <wp:docPr id="11" name="矩形 11"/>
                <wp:cNvGraphicFramePr/>
                <a:graphic xmlns:a="http://schemas.openxmlformats.org/drawingml/2006/main">
                  <a:graphicData uri="http://schemas.microsoft.com/office/word/2010/wordprocessingShape">
                    <wps:wsp>
                      <wps:cNvSpPr/>
                      <wps:spPr>
                        <a:xfrm>
                          <a:off x="0" y="0"/>
                          <a:ext cx="106172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4882E3">
                            <w:pPr>
                              <w:jc w:val="center"/>
                              <w:rPr>
                                <w:b/>
                                <w:sz w:val="36"/>
                                <w:szCs w:val="36"/>
                              </w:rPr>
                            </w:pPr>
                            <w:permStart w:id="81" w:edGrp="everyone"/>
                            <w:r>
                              <w:rPr>
                                <w:rFonts w:hint="eastAsia"/>
                                <w:b/>
                                <w:sz w:val="36"/>
                                <w:szCs w:val="36"/>
                              </w:rPr>
                              <w:t>正/副本</w:t>
                            </w:r>
                            <w:permEnd w:id="81"/>
                          </w:p>
                        </w:txbxContent>
                      </wps:txbx>
                      <wps:bodyPr wrap="square" upright="1"/>
                    </wps:wsp>
                  </a:graphicData>
                </a:graphic>
              </wp:anchor>
            </w:drawing>
          </mc:Choice>
          <mc:Fallback>
            <w:pict>
              <v:rect id="_x0000_s1026" o:spid="_x0000_s1026" o:spt="1" style="position:absolute;left:0pt;margin-left:372.05pt;margin-top:23.55pt;height:39pt;width:83.6pt;z-index:251659264;mso-width-relative:page;mso-height-relative:page;" fillcolor="#FFFFFF" filled="t" stroked="t" coordsize="21600,21600" o:gfxdata="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l/qpXZAAAACgEAAA8AAAAA&#10;AAAAAQAgAAAAIgAAAGRycy9kb3ducmV2LnhtbFBLAQIUABQAAAAIAIdO4kCcrjP5EwIAAEcEAAAO&#10;AAAAAAAAAAEAIAAAACgBAABkcnMvZTJvRG9jLnhtbFBLBQYAAAAABgAGAFkBAACtBQAAAAA=&#10;">
                <v:fill on="t" focussize="0,0"/>
                <v:stroke color="#000000" joinstyle="miter"/>
                <v:imagedata o:title=""/>
                <o:lock v:ext="edit" aspectratio="f"/>
                <v:textbox>
                  <w:txbxContent>
                    <w:p w14:paraId="1E4882E3">
                      <w:pPr>
                        <w:jc w:val="center"/>
                        <w:rPr>
                          <w:b/>
                          <w:sz w:val="36"/>
                          <w:szCs w:val="36"/>
                        </w:rPr>
                      </w:pPr>
                      <w:permStart w:id="81" w:edGrp="everyone"/>
                      <w:r>
                        <w:rPr>
                          <w:rFonts w:hint="eastAsia"/>
                          <w:b/>
                          <w:sz w:val="36"/>
                          <w:szCs w:val="36"/>
                        </w:rPr>
                        <w:t>正/副本</w:t>
                      </w:r>
                      <w:permEnd w:id="81"/>
                    </w:p>
                  </w:txbxContent>
                </v:textbox>
              </v:rect>
            </w:pict>
          </mc:Fallback>
        </mc:AlternateContent>
      </w:r>
    </w:p>
    <w:bookmarkEnd w:id="712"/>
    <w:bookmarkEnd w:id="713"/>
    <w:p w14:paraId="33811F64">
      <w:pPr>
        <w:keepNext w:val="0"/>
        <w:keepLines/>
        <w:pageBreakBefore w:val="0"/>
        <w:widowControl/>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cs="宋体"/>
          <w:b/>
          <w:bCs/>
          <w:sz w:val="28"/>
          <w:szCs w:val="28"/>
          <w:highlight w:val="none"/>
        </w:rPr>
      </w:pPr>
    </w:p>
    <w:p w14:paraId="0F5899C1">
      <w:pPr>
        <w:keepNext w:val="0"/>
        <w:keepLines/>
        <w:pageBreakBefore w:val="0"/>
        <w:widowControl/>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cs="宋体"/>
          <w:b/>
          <w:bCs/>
          <w:sz w:val="28"/>
          <w:szCs w:val="28"/>
          <w:highlight w:val="none"/>
        </w:rPr>
      </w:pPr>
    </w:p>
    <w:p w14:paraId="1A461188">
      <w:pPr>
        <w:autoSpaceDE w:val="0"/>
        <w:autoSpaceDN w:val="0"/>
        <w:adjustRightInd w:val="0"/>
        <w:spacing w:line="360" w:lineRule="auto"/>
        <w:ind w:right="745" w:rightChars="355"/>
        <w:rPr>
          <w:rFonts w:hint="default" w:hAnsi="宋体" w:eastAsia="宋体"/>
          <w:sz w:val="30"/>
          <w:szCs w:val="30"/>
          <w:highlight w:val="none"/>
          <w:lang w:val="en-US" w:eastAsia="zh-CN"/>
        </w:rPr>
      </w:pPr>
      <w:r>
        <w:rPr>
          <w:rFonts w:hint="eastAsia" w:hAnsi="宋体"/>
          <w:sz w:val="30"/>
          <w:szCs w:val="30"/>
          <w:highlight w:val="none"/>
        </w:rPr>
        <w:t>项目名称：</w:t>
      </w:r>
      <w:r>
        <w:rPr>
          <w:rFonts w:hint="eastAsia" w:hAnsi="宋体"/>
          <w:sz w:val="30"/>
          <w:szCs w:val="30"/>
          <w:highlight w:val="none"/>
          <w:lang w:val="en-US" w:eastAsia="zh-CN"/>
        </w:rPr>
        <w:t>2026年法律服务采购（第二次）</w:t>
      </w:r>
    </w:p>
    <w:p w14:paraId="0C7FCB64">
      <w:pPr>
        <w:pStyle w:val="2"/>
        <w:spacing w:line="360" w:lineRule="auto"/>
        <w:rPr>
          <w:rFonts w:hint="default" w:eastAsia="宋体"/>
          <w:sz w:val="30"/>
          <w:szCs w:val="30"/>
          <w:highlight w:val="none"/>
          <w:lang w:val="en-US" w:eastAsia="zh-CN"/>
        </w:rPr>
      </w:pPr>
      <w:r>
        <w:rPr>
          <w:rFonts w:hint="eastAsia"/>
          <w:sz w:val="30"/>
          <w:szCs w:val="30"/>
          <w:highlight w:val="none"/>
        </w:rPr>
        <w:t>项目编号：</w:t>
      </w:r>
      <w:r>
        <w:rPr>
          <w:rFonts w:hint="eastAsia"/>
          <w:bCs/>
          <w:sz w:val="32"/>
          <w:szCs w:val="32"/>
        </w:rPr>
        <w:t>YYCG[2025]</w:t>
      </w:r>
      <w:r>
        <w:rPr>
          <w:rFonts w:hint="eastAsia"/>
          <w:bCs/>
          <w:sz w:val="32"/>
          <w:szCs w:val="32"/>
          <w:lang w:val="en-US" w:eastAsia="zh-CN"/>
        </w:rPr>
        <w:t>022-1号</w:t>
      </w:r>
    </w:p>
    <w:p w14:paraId="6D39014C">
      <w:pPr>
        <w:pStyle w:val="2"/>
        <w:spacing w:line="360" w:lineRule="auto"/>
        <w:rPr>
          <w:highlight w:val="none"/>
        </w:rPr>
      </w:pPr>
    </w:p>
    <w:p w14:paraId="2D6D837E">
      <w:pPr>
        <w:pStyle w:val="2"/>
        <w:spacing w:line="360" w:lineRule="auto"/>
        <w:rPr>
          <w:highlight w:val="none"/>
        </w:rPr>
      </w:pPr>
    </w:p>
    <w:p w14:paraId="6534F8BA">
      <w:pPr>
        <w:pStyle w:val="2"/>
        <w:spacing w:line="360" w:lineRule="auto"/>
        <w:rPr>
          <w:highlight w:val="none"/>
        </w:rPr>
      </w:pPr>
    </w:p>
    <w:p w14:paraId="07DC8DC9">
      <w:pPr>
        <w:pStyle w:val="2"/>
        <w:spacing w:line="360" w:lineRule="auto"/>
        <w:rPr>
          <w:highlight w:val="none"/>
        </w:rPr>
      </w:pPr>
    </w:p>
    <w:p w14:paraId="4D01CDF1">
      <w:pPr>
        <w:autoSpaceDE w:val="0"/>
        <w:autoSpaceDN w:val="0"/>
        <w:adjustRightInd w:val="0"/>
        <w:spacing w:line="360" w:lineRule="auto"/>
        <w:ind w:right="745" w:rightChars="355"/>
        <w:jc w:val="center"/>
        <w:rPr>
          <w:rFonts w:hAnsi="宋体"/>
          <w:sz w:val="94"/>
          <w:szCs w:val="94"/>
          <w:highlight w:val="none"/>
        </w:rPr>
      </w:pPr>
      <w:r>
        <w:rPr>
          <w:rFonts w:hint="eastAsia" w:hAnsi="宋体"/>
          <w:sz w:val="94"/>
          <w:szCs w:val="94"/>
          <w:highlight w:val="none"/>
        </w:rPr>
        <w:t>响应</w:t>
      </w:r>
      <w:r>
        <w:rPr>
          <w:rFonts w:hAnsi="宋体"/>
          <w:sz w:val="94"/>
          <w:szCs w:val="94"/>
          <w:highlight w:val="none"/>
        </w:rPr>
        <w:t>文件</w:t>
      </w:r>
    </w:p>
    <w:p w14:paraId="21454DC0">
      <w:pPr>
        <w:autoSpaceDE w:val="0"/>
        <w:autoSpaceDN w:val="0"/>
        <w:adjustRightInd w:val="0"/>
        <w:spacing w:line="360" w:lineRule="auto"/>
        <w:ind w:right="745" w:rightChars="355" w:firstLine="720" w:firstLineChars="200"/>
        <w:rPr>
          <w:rFonts w:hAnsi="宋体"/>
          <w:sz w:val="36"/>
          <w:szCs w:val="36"/>
          <w:highlight w:val="none"/>
        </w:rPr>
      </w:pPr>
    </w:p>
    <w:p w14:paraId="56080CBB">
      <w:pPr>
        <w:pStyle w:val="2"/>
        <w:spacing w:line="360" w:lineRule="auto"/>
        <w:rPr>
          <w:highlight w:val="none"/>
        </w:rPr>
      </w:pPr>
    </w:p>
    <w:p w14:paraId="28BD94AA">
      <w:pPr>
        <w:pStyle w:val="2"/>
        <w:spacing w:line="360" w:lineRule="auto"/>
        <w:rPr>
          <w:highlight w:val="none"/>
        </w:rPr>
      </w:pPr>
    </w:p>
    <w:p w14:paraId="506D6502">
      <w:pPr>
        <w:pStyle w:val="2"/>
        <w:spacing w:line="360" w:lineRule="auto"/>
        <w:rPr>
          <w:highlight w:val="none"/>
        </w:rPr>
      </w:pPr>
    </w:p>
    <w:p w14:paraId="41934E91">
      <w:pPr>
        <w:autoSpaceDE w:val="0"/>
        <w:autoSpaceDN w:val="0"/>
        <w:adjustRightInd w:val="0"/>
        <w:spacing w:line="360" w:lineRule="auto"/>
        <w:ind w:right="745" w:rightChars="355" w:firstLine="900" w:firstLineChars="300"/>
        <w:rPr>
          <w:rFonts w:hint="eastAsia" w:ascii="宋体" w:hAnsi="宋体" w:eastAsia="宋体" w:cs="宋体"/>
          <w:sz w:val="30"/>
          <w:szCs w:val="30"/>
          <w:highlight w:val="none"/>
          <w:u w:val="single"/>
          <w:lang w:eastAsia="zh-CN"/>
        </w:rPr>
      </w:pPr>
      <w:bookmarkStart w:id="714" w:name="_Toc12440"/>
      <w:r>
        <w:rPr>
          <w:rFonts w:hint="eastAsia" w:ascii="宋体" w:hAnsi="宋体" w:cs="宋体"/>
          <w:sz w:val="30"/>
          <w:szCs w:val="30"/>
          <w:highlight w:val="none"/>
        </w:rPr>
        <w:t>供应商（加盖公章）：</w:t>
      </w:r>
      <w:bookmarkEnd w:id="714"/>
    </w:p>
    <w:p w14:paraId="27E28FA5">
      <w:pPr>
        <w:autoSpaceDE w:val="0"/>
        <w:autoSpaceDN w:val="0"/>
        <w:adjustRightInd w:val="0"/>
        <w:spacing w:line="360" w:lineRule="auto"/>
        <w:ind w:right="745" w:rightChars="355" w:firstLine="900" w:firstLineChars="300"/>
        <w:rPr>
          <w:rFonts w:hint="eastAsia" w:ascii="宋体" w:hAnsi="宋体" w:eastAsia="宋体" w:cs="宋体"/>
          <w:sz w:val="30"/>
          <w:szCs w:val="30"/>
          <w:highlight w:val="none"/>
          <w:u w:val="single"/>
          <w:lang w:eastAsia="zh-CN"/>
        </w:rPr>
      </w:pPr>
      <w:bookmarkStart w:id="715" w:name="_Toc30559"/>
      <w:r>
        <w:rPr>
          <w:rFonts w:hint="eastAsia" w:ascii="宋体" w:hAnsi="宋体" w:cs="宋体"/>
          <w:sz w:val="30"/>
          <w:szCs w:val="30"/>
          <w:highlight w:val="none"/>
        </w:rPr>
        <w:t>法定代表人或其委托代理人签字：</w:t>
      </w:r>
      <w:bookmarkEnd w:id="715"/>
    </w:p>
    <w:p w14:paraId="55B19397">
      <w:pPr>
        <w:spacing w:line="360" w:lineRule="auto"/>
        <w:jc w:val="right"/>
        <w:rPr>
          <w:rFonts w:hAnsi="宋体"/>
          <w:sz w:val="36"/>
          <w:szCs w:val="36"/>
          <w:highlight w:val="none"/>
        </w:rPr>
      </w:pPr>
    </w:p>
    <w:p w14:paraId="5B38D6DD">
      <w:pPr>
        <w:spacing w:line="360" w:lineRule="auto"/>
        <w:jc w:val="center"/>
        <w:rPr>
          <w:rFonts w:hAnsi="宋体"/>
          <w:sz w:val="30"/>
          <w:szCs w:val="30"/>
          <w:highlight w:val="none"/>
        </w:rPr>
      </w:pPr>
      <w:bookmarkStart w:id="716" w:name="_Toc10921"/>
      <w:r>
        <w:rPr>
          <w:rFonts w:hAnsi="宋体"/>
          <w:sz w:val="30"/>
          <w:szCs w:val="30"/>
          <w:highlight w:val="none"/>
        </w:rPr>
        <w:t>日期：年月日</w:t>
      </w:r>
      <w:bookmarkEnd w:id="716"/>
    </w:p>
    <w:p w14:paraId="7312D843">
      <w:pPr>
        <w:keepNext w:val="0"/>
        <w:keepLines/>
        <w:pageBreakBefore w:val="0"/>
        <w:widowControl/>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cs="宋体"/>
          <w:b/>
          <w:bCs/>
          <w:sz w:val="28"/>
          <w:szCs w:val="28"/>
          <w:highlight w:val="none"/>
        </w:rPr>
      </w:pPr>
    </w:p>
    <w:p w14:paraId="24A255D1">
      <w:pPr>
        <w:pStyle w:val="2"/>
        <w:rPr>
          <w:rFonts w:hint="eastAsia" w:ascii="宋体" w:hAnsi="宋体" w:cs="宋体"/>
          <w:b/>
          <w:bCs/>
          <w:sz w:val="28"/>
          <w:szCs w:val="28"/>
          <w:highlight w:val="none"/>
        </w:rPr>
      </w:pPr>
    </w:p>
    <w:p w14:paraId="3B148AE6">
      <w:pPr>
        <w:pStyle w:val="23"/>
        <w:rPr>
          <w:rFonts w:hint="eastAsia" w:ascii="宋体" w:hAnsi="宋体" w:cs="宋体"/>
          <w:b/>
          <w:bCs/>
          <w:sz w:val="28"/>
          <w:szCs w:val="28"/>
          <w:highlight w:val="none"/>
        </w:rPr>
      </w:pPr>
    </w:p>
    <w:p w14:paraId="388684DA">
      <w:pPr>
        <w:pStyle w:val="25"/>
        <w:rPr>
          <w:rFonts w:hint="eastAsia"/>
        </w:rPr>
      </w:pPr>
    </w:p>
    <w:p w14:paraId="4C2FFC61">
      <w:pPr>
        <w:keepNext w:val="0"/>
        <w:keepLines/>
        <w:pageBreakBefore w:val="0"/>
        <w:widowControl/>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cs="宋体"/>
          <w:b/>
          <w:bCs/>
          <w:sz w:val="28"/>
          <w:szCs w:val="28"/>
          <w:highlight w:val="none"/>
        </w:rPr>
      </w:pPr>
    </w:p>
    <w:p w14:paraId="193D9AE4">
      <w:pPr>
        <w:spacing w:before="120" w:beforeLines="50" w:after="360" w:afterLines="150"/>
        <w:jc w:val="center"/>
        <w:outlineLvl w:val="1"/>
        <w:rPr>
          <w:rFonts w:hint="eastAsia" w:ascii="黑体" w:hAnsi="黑体" w:eastAsia="黑体" w:cs="Arial"/>
          <w:bCs/>
          <w:sz w:val="32"/>
          <w:szCs w:val="32"/>
          <w:highlight w:val="none"/>
        </w:rPr>
      </w:pPr>
      <w:bookmarkStart w:id="717" w:name="_Toc32315"/>
      <w:r>
        <w:rPr>
          <w:rFonts w:hint="eastAsia" w:ascii="黑体" w:hAnsi="黑体" w:eastAsia="黑体" w:cs="Arial"/>
          <w:bCs/>
          <w:sz w:val="32"/>
          <w:szCs w:val="32"/>
          <w:highlight w:val="none"/>
        </w:rPr>
        <w:t>一、法定代表人身份证明文件或法定代表人授权书</w:t>
      </w:r>
      <w:bookmarkEnd w:id="717"/>
    </w:p>
    <w:p w14:paraId="3F37C478">
      <w:pPr>
        <w:pStyle w:val="2"/>
        <w:ind w:firstLine="480" w:firstLineChars="200"/>
        <w:rPr>
          <w:rFonts w:hint="eastAsia"/>
          <w:kern w:val="2"/>
          <w:sz w:val="24"/>
          <w:szCs w:val="24"/>
          <w:highlight w:val="none"/>
        </w:rPr>
      </w:pPr>
    </w:p>
    <w:p w14:paraId="2E5D607D">
      <w:pPr>
        <w:pStyle w:val="2"/>
        <w:ind w:firstLine="480" w:firstLineChars="200"/>
        <w:rPr>
          <w:rFonts w:hint="eastAsia"/>
          <w:kern w:val="2"/>
          <w:sz w:val="24"/>
          <w:szCs w:val="24"/>
          <w:highlight w:val="none"/>
        </w:rPr>
      </w:pPr>
    </w:p>
    <w:p w14:paraId="1FF63757">
      <w:pPr>
        <w:pStyle w:val="2"/>
        <w:ind w:firstLine="480" w:firstLineChars="200"/>
        <w:rPr>
          <w:rFonts w:hint="eastAsia"/>
          <w:kern w:val="2"/>
          <w:sz w:val="24"/>
          <w:szCs w:val="24"/>
          <w:highlight w:val="none"/>
        </w:rPr>
      </w:pPr>
    </w:p>
    <w:p w14:paraId="67B12CCC">
      <w:pPr>
        <w:pStyle w:val="2"/>
        <w:ind w:firstLine="480" w:firstLineChars="200"/>
        <w:rPr>
          <w:highlight w:val="none"/>
        </w:rPr>
      </w:pPr>
      <w:r>
        <w:rPr>
          <w:rFonts w:hint="eastAsia"/>
          <w:kern w:val="2"/>
          <w:sz w:val="24"/>
          <w:szCs w:val="24"/>
          <w:highlight w:val="none"/>
        </w:rPr>
        <w:t>1.如</w:t>
      </w:r>
      <w:r>
        <w:rPr>
          <w:sz w:val="24"/>
          <w:highlight w:val="none"/>
        </w:rPr>
        <w:t>法定代表人参加的，</w:t>
      </w:r>
      <w:r>
        <w:rPr>
          <w:rFonts w:hint="eastAsia"/>
          <w:sz w:val="24"/>
          <w:highlight w:val="none"/>
        </w:rPr>
        <w:t>应</w:t>
      </w:r>
      <w:r>
        <w:rPr>
          <w:sz w:val="24"/>
          <w:highlight w:val="none"/>
        </w:rPr>
        <w:t>提供法定代表人身份证复印件。</w:t>
      </w:r>
    </w:p>
    <w:p w14:paraId="05933D12">
      <w:pPr>
        <w:pStyle w:val="2"/>
        <w:ind w:firstLine="480" w:firstLineChars="200"/>
        <w:rPr>
          <w:rFonts w:hint="eastAsia" w:ascii="黑体" w:hAnsi="黑体" w:eastAsia="黑体" w:cs="Arial"/>
          <w:bCs/>
          <w:sz w:val="32"/>
          <w:szCs w:val="32"/>
          <w:highlight w:val="none"/>
        </w:rPr>
      </w:pPr>
      <w:r>
        <w:rPr>
          <w:rFonts w:hint="eastAsia"/>
          <w:sz w:val="24"/>
          <w:highlight w:val="none"/>
        </w:rPr>
        <w:t>2.如</w:t>
      </w:r>
      <w:r>
        <w:rPr>
          <w:sz w:val="24"/>
          <w:highlight w:val="none"/>
        </w:rPr>
        <w:t>授权代表参加的，</w:t>
      </w:r>
      <w:r>
        <w:rPr>
          <w:rFonts w:hint="eastAsia"/>
          <w:sz w:val="24"/>
          <w:highlight w:val="none"/>
        </w:rPr>
        <w:t>应</w:t>
      </w:r>
      <w:r>
        <w:rPr>
          <w:sz w:val="24"/>
          <w:highlight w:val="none"/>
        </w:rPr>
        <w:t>提供法定代表人授权书，法定代表人和授权代表的身份证复印件。</w:t>
      </w:r>
    </w:p>
    <w:p w14:paraId="541A6476">
      <w:pPr>
        <w:pStyle w:val="2"/>
        <w:ind w:firstLine="420" w:firstLineChars="200"/>
        <w:rPr>
          <w:rFonts w:hint="eastAsia"/>
          <w:highlight w:val="none"/>
        </w:rPr>
      </w:pPr>
      <w:bookmarkStart w:id="718" w:name="_Toc26710"/>
      <w:r>
        <w:rPr>
          <w:rFonts w:hint="eastAsia"/>
          <w:highlight w:val="none"/>
        </w:rPr>
        <w:t>2.1附件：法定代表人授权书格式</w:t>
      </w:r>
      <w:bookmarkEnd w:id="718"/>
    </w:p>
    <w:p w14:paraId="6F456EE5">
      <w:pPr>
        <w:pStyle w:val="23"/>
        <w:ind w:left="0"/>
        <w:outlineLvl w:val="9"/>
        <w:rPr>
          <w:rFonts w:hint="eastAsia" w:ascii="Times New Roman" w:eastAsia="宋体"/>
          <w:kern w:val="2"/>
          <w:sz w:val="24"/>
          <w:szCs w:val="24"/>
          <w:highlight w:val="none"/>
        </w:rPr>
      </w:pPr>
    </w:p>
    <w:p w14:paraId="5BA30F8B">
      <w:pPr>
        <w:spacing w:line="360" w:lineRule="auto"/>
        <w:jc w:val="left"/>
        <w:rPr>
          <w:rFonts w:hint="eastAsia"/>
          <w:sz w:val="24"/>
          <w:highlight w:val="none"/>
        </w:rPr>
      </w:pPr>
      <w:r>
        <w:rPr>
          <w:rFonts w:hint="eastAsia"/>
          <w:sz w:val="24"/>
          <w:highlight w:val="none"/>
        </w:rPr>
        <w:t>（采购人名称）：</w:t>
      </w:r>
    </w:p>
    <w:p w14:paraId="068DC614">
      <w:pPr>
        <w:spacing w:line="360" w:lineRule="auto"/>
        <w:ind w:firstLine="480" w:firstLineChars="200"/>
        <w:jc w:val="left"/>
        <w:rPr>
          <w:rFonts w:hint="eastAsia"/>
          <w:sz w:val="24"/>
          <w:highlight w:val="none"/>
        </w:rPr>
      </w:pPr>
      <w:r>
        <w:rPr>
          <w:rFonts w:hint="eastAsia"/>
          <w:sz w:val="24"/>
          <w:highlight w:val="none"/>
        </w:rPr>
        <w:t>本授权声明：</w:t>
      </w:r>
      <w:r>
        <w:rPr>
          <w:rFonts w:hint="eastAsia"/>
          <w:sz w:val="24"/>
          <w:highlight w:val="none"/>
          <w:u w:val="single"/>
        </w:rPr>
        <w:t>XXX</w:t>
      </w:r>
      <w:r>
        <w:rPr>
          <w:rFonts w:hint="eastAsia"/>
          <w:sz w:val="24"/>
          <w:highlight w:val="none"/>
        </w:rPr>
        <w:t>（单位名称）,</w:t>
      </w:r>
      <w:r>
        <w:rPr>
          <w:rFonts w:hint="eastAsia"/>
          <w:sz w:val="24"/>
          <w:highlight w:val="none"/>
          <w:u w:val="single"/>
        </w:rPr>
        <w:t>XXX（法定代表人姓名、职务）</w:t>
      </w:r>
      <w:r>
        <w:rPr>
          <w:rFonts w:hint="eastAsia"/>
          <w:sz w:val="24"/>
          <w:highlight w:val="none"/>
        </w:rPr>
        <w:t>授权</w:t>
      </w:r>
      <w:r>
        <w:rPr>
          <w:rFonts w:hint="eastAsia"/>
          <w:sz w:val="24"/>
          <w:highlight w:val="none"/>
          <w:u w:val="single"/>
        </w:rPr>
        <w:t>XXX（被授权人姓名、职务）</w:t>
      </w:r>
      <w:r>
        <w:rPr>
          <w:rFonts w:hint="eastAsia"/>
          <w:sz w:val="24"/>
          <w:highlight w:val="none"/>
        </w:rPr>
        <w:t>为我方参加</w:t>
      </w:r>
      <w:r>
        <w:rPr>
          <w:rFonts w:hint="eastAsia"/>
          <w:bCs/>
          <w:sz w:val="24"/>
          <w:u w:val="single"/>
          <w:lang w:eastAsia="zh-CN"/>
        </w:rPr>
        <w:t>202</w:t>
      </w:r>
      <w:r>
        <w:rPr>
          <w:rFonts w:hint="eastAsia"/>
          <w:bCs/>
          <w:sz w:val="24"/>
          <w:u w:val="single"/>
          <w:lang w:val="en-US" w:eastAsia="zh-CN"/>
        </w:rPr>
        <w:t>6</w:t>
      </w:r>
      <w:r>
        <w:rPr>
          <w:rFonts w:hint="eastAsia"/>
          <w:bCs/>
          <w:sz w:val="24"/>
          <w:u w:val="single"/>
          <w:lang w:eastAsia="zh-CN"/>
        </w:rPr>
        <w:t>年法律服务采购（</w:t>
      </w:r>
      <w:r>
        <w:rPr>
          <w:rFonts w:hint="eastAsia"/>
          <w:bCs/>
          <w:sz w:val="24"/>
          <w:u w:val="single"/>
          <w:lang w:val="en-US" w:eastAsia="zh-CN"/>
        </w:rPr>
        <w:t>第二次</w:t>
      </w:r>
      <w:r>
        <w:rPr>
          <w:rFonts w:hint="eastAsia"/>
          <w:bCs/>
          <w:sz w:val="24"/>
          <w:u w:val="single"/>
          <w:lang w:eastAsia="zh-CN"/>
        </w:rPr>
        <w:t>）</w:t>
      </w:r>
      <w:r>
        <w:rPr>
          <w:rFonts w:hint="eastAsia"/>
          <w:sz w:val="24"/>
          <w:highlight w:val="none"/>
        </w:rPr>
        <w:t>（采购编号：</w:t>
      </w:r>
      <w:r>
        <w:rPr>
          <w:rFonts w:hint="eastAsia"/>
          <w:sz w:val="24"/>
          <w:highlight w:val="none"/>
          <w:u w:val="single"/>
          <w:lang w:val="en-US" w:eastAsia="zh-CN"/>
        </w:rPr>
        <w:t>YYCG[2025]022-1号</w:t>
      </w:r>
      <w:r>
        <w:rPr>
          <w:rFonts w:hint="eastAsia"/>
          <w:sz w:val="24"/>
          <w:highlight w:val="none"/>
          <w:u w:val="single"/>
        </w:rPr>
        <w:t>）</w:t>
      </w:r>
      <w:r>
        <w:rPr>
          <w:rFonts w:hint="eastAsia"/>
          <w:sz w:val="24"/>
          <w:highlight w:val="none"/>
        </w:rPr>
        <w:t>竞争性磋商采购活动的合法代表，以我方名义全权处理该项目有关磋商、报价、签订合同以及执行合同等一切事宜。</w:t>
      </w:r>
    </w:p>
    <w:p w14:paraId="0039A944">
      <w:pPr>
        <w:spacing w:line="360" w:lineRule="auto"/>
        <w:ind w:firstLine="480" w:firstLineChars="200"/>
        <w:jc w:val="left"/>
        <w:rPr>
          <w:rFonts w:hint="eastAsia"/>
          <w:sz w:val="24"/>
          <w:highlight w:val="none"/>
        </w:rPr>
      </w:pPr>
      <w:r>
        <w:rPr>
          <w:rFonts w:hint="eastAsia"/>
          <w:sz w:val="24"/>
          <w:highlight w:val="none"/>
        </w:rPr>
        <w:t>特此声明。</w:t>
      </w:r>
    </w:p>
    <w:p w14:paraId="6747FFEC">
      <w:pPr>
        <w:spacing w:line="360" w:lineRule="auto"/>
        <w:ind w:firstLine="480" w:firstLineChars="200"/>
        <w:jc w:val="left"/>
        <w:rPr>
          <w:rFonts w:hint="eastAsia"/>
          <w:sz w:val="24"/>
          <w:highlight w:val="none"/>
        </w:rPr>
      </w:pPr>
    </w:p>
    <w:p w14:paraId="7C875BAE">
      <w:pPr>
        <w:spacing w:line="360" w:lineRule="auto"/>
        <w:ind w:firstLine="480" w:firstLineChars="200"/>
        <w:jc w:val="left"/>
        <w:rPr>
          <w:rFonts w:hint="eastAsia"/>
          <w:sz w:val="24"/>
          <w:highlight w:val="none"/>
        </w:rPr>
      </w:pPr>
      <w:r>
        <w:rPr>
          <w:rFonts w:hint="eastAsia"/>
          <w:sz w:val="24"/>
          <w:highlight w:val="none"/>
        </w:rPr>
        <w:t>附：(1)法定代表人身份证复印件。</w:t>
      </w:r>
    </w:p>
    <w:p w14:paraId="7068AD53">
      <w:pPr>
        <w:spacing w:line="360" w:lineRule="auto"/>
        <w:ind w:firstLine="720" w:firstLineChars="300"/>
        <w:jc w:val="left"/>
        <w:rPr>
          <w:rFonts w:hint="eastAsia"/>
          <w:sz w:val="24"/>
          <w:highlight w:val="none"/>
        </w:rPr>
      </w:pPr>
      <w:r>
        <w:rPr>
          <w:rFonts w:hint="eastAsia"/>
          <w:sz w:val="24"/>
          <w:highlight w:val="none"/>
        </w:rPr>
        <w:t>（2）代理人身份证复印件</w:t>
      </w:r>
    </w:p>
    <w:p w14:paraId="1B5D0664">
      <w:pPr>
        <w:spacing w:after="160" w:line="360" w:lineRule="auto"/>
        <w:rPr>
          <w:rFonts w:ascii="微软雅黑" w:hAnsi="宋体"/>
          <w:sz w:val="24"/>
          <w:szCs w:val="24"/>
          <w:highlight w:val="none"/>
        </w:rPr>
      </w:pPr>
    </w:p>
    <w:p w14:paraId="36EE58CA">
      <w:pPr>
        <w:spacing w:after="160" w:line="360" w:lineRule="auto"/>
        <w:ind w:firstLine="480"/>
        <w:rPr>
          <w:rFonts w:ascii="微软雅黑" w:hAnsi="宋体"/>
          <w:sz w:val="24"/>
          <w:szCs w:val="24"/>
          <w:highlight w:val="none"/>
        </w:rPr>
      </w:pPr>
    </w:p>
    <w:p w14:paraId="7EB471ED">
      <w:pPr>
        <w:spacing w:after="160" w:line="360" w:lineRule="auto"/>
        <w:ind w:firstLine="480"/>
        <w:rPr>
          <w:rFonts w:ascii="微软雅黑" w:hAnsi="宋体"/>
          <w:sz w:val="24"/>
          <w:szCs w:val="24"/>
          <w:highlight w:val="none"/>
        </w:rPr>
      </w:pPr>
    </w:p>
    <w:p w14:paraId="489318C7">
      <w:pPr>
        <w:spacing w:after="160" w:line="360" w:lineRule="auto"/>
        <w:ind w:firstLine="480"/>
        <w:rPr>
          <w:rFonts w:ascii="微软雅黑" w:hAnsi="宋体"/>
          <w:sz w:val="24"/>
          <w:szCs w:val="24"/>
          <w:highlight w:val="none"/>
        </w:rPr>
      </w:pPr>
    </w:p>
    <w:p w14:paraId="5A9BCD63">
      <w:pPr>
        <w:spacing w:after="160" w:line="360" w:lineRule="auto"/>
        <w:ind w:firstLine="480"/>
        <w:rPr>
          <w:rFonts w:ascii="微软雅黑" w:hAnsi="宋体"/>
          <w:sz w:val="24"/>
          <w:szCs w:val="24"/>
          <w:highlight w:val="none"/>
        </w:rPr>
      </w:pPr>
      <w:r>
        <w:rPr>
          <w:rFonts w:ascii="微软雅黑" w:hAnsi="宋体"/>
          <w:sz w:val="24"/>
          <w:szCs w:val="24"/>
          <w:highlight w:val="none"/>
        </w:rPr>
        <w:t>法定代表人签字：</w:t>
      </w:r>
    </w:p>
    <w:p w14:paraId="10CB5255">
      <w:pPr>
        <w:spacing w:after="160" w:line="360" w:lineRule="auto"/>
        <w:ind w:firstLine="480" w:firstLineChars="200"/>
        <w:rPr>
          <w:rFonts w:ascii="微软雅黑" w:hAnsi="宋体"/>
          <w:sz w:val="24"/>
          <w:szCs w:val="24"/>
          <w:highlight w:val="none"/>
        </w:rPr>
      </w:pPr>
      <w:r>
        <w:rPr>
          <w:rFonts w:ascii="微软雅黑" w:hAnsi="宋体"/>
          <w:sz w:val="24"/>
          <w:szCs w:val="24"/>
          <w:highlight w:val="none"/>
        </w:rPr>
        <w:t>授权代表</w:t>
      </w:r>
      <w:r>
        <w:rPr>
          <w:rFonts w:hint="eastAsia" w:ascii="微软雅黑" w:hAnsi="宋体"/>
          <w:sz w:val="24"/>
          <w:szCs w:val="24"/>
          <w:highlight w:val="none"/>
        </w:rPr>
        <w:t>人</w:t>
      </w:r>
      <w:r>
        <w:rPr>
          <w:rFonts w:ascii="微软雅黑" w:hAnsi="宋体"/>
          <w:sz w:val="24"/>
          <w:szCs w:val="24"/>
          <w:highlight w:val="none"/>
        </w:rPr>
        <w:t>签字：</w:t>
      </w:r>
    </w:p>
    <w:p w14:paraId="27942087">
      <w:pPr>
        <w:spacing w:after="160" w:line="360" w:lineRule="auto"/>
        <w:ind w:firstLine="480" w:firstLineChars="200"/>
        <w:rPr>
          <w:rFonts w:ascii="微软雅黑" w:hAnsi="宋体"/>
          <w:sz w:val="24"/>
          <w:szCs w:val="24"/>
          <w:highlight w:val="none"/>
        </w:rPr>
      </w:pPr>
      <w:r>
        <w:rPr>
          <w:rFonts w:hint="eastAsia" w:ascii="微软雅黑" w:hAnsi="宋体"/>
          <w:sz w:val="24"/>
          <w:szCs w:val="24"/>
          <w:highlight w:val="none"/>
        </w:rPr>
        <w:t>供应商</w:t>
      </w:r>
      <w:r>
        <w:rPr>
          <w:rFonts w:ascii="微软雅黑" w:hAnsi="宋体"/>
          <w:sz w:val="24"/>
          <w:szCs w:val="24"/>
          <w:highlight w:val="none"/>
        </w:rPr>
        <w:t>名称：（盖章）</w:t>
      </w:r>
    </w:p>
    <w:p w14:paraId="03C8841E">
      <w:pPr>
        <w:spacing w:after="160" w:line="360" w:lineRule="auto"/>
        <w:ind w:firstLine="480" w:firstLineChars="200"/>
        <w:rPr>
          <w:rFonts w:ascii="微软雅黑" w:hAnsi="宋体"/>
          <w:sz w:val="24"/>
          <w:szCs w:val="24"/>
          <w:highlight w:val="none"/>
        </w:rPr>
      </w:pPr>
      <w:r>
        <w:rPr>
          <w:rFonts w:ascii="微软雅黑" w:hAnsi="宋体"/>
          <w:sz w:val="24"/>
          <w:szCs w:val="24"/>
          <w:highlight w:val="none"/>
        </w:rPr>
        <w:t>日期：</w:t>
      </w:r>
    </w:p>
    <w:p w14:paraId="2DD58ADB">
      <w:pPr>
        <w:spacing w:after="160" w:line="360" w:lineRule="auto"/>
        <w:rPr>
          <w:rFonts w:ascii="微软雅黑" w:hAnsi="宋体"/>
          <w:b/>
          <w:sz w:val="24"/>
          <w:szCs w:val="24"/>
          <w:highlight w:val="none"/>
        </w:rPr>
      </w:pPr>
      <w:r>
        <w:rPr>
          <w:rFonts w:hint="eastAsia" w:ascii="微软雅黑" w:hAnsi="宋体"/>
          <w:b/>
          <w:sz w:val="24"/>
          <w:szCs w:val="24"/>
          <w:highlight w:val="none"/>
        </w:rPr>
        <w:t>注：如其他组织或自然人参加本次投标的参照本表进行填写。</w:t>
      </w:r>
    </w:p>
    <w:p w14:paraId="4A5188AD">
      <w:pPr>
        <w:spacing w:after="160" w:line="360" w:lineRule="auto"/>
        <w:rPr>
          <w:rFonts w:ascii="微软雅黑" w:hAnsi="宋体"/>
          <w:b/>
          <w:sz w:val="28"/>
          <w:szCs w:val="28"/>
          <w:highlight w:val="none"/>
        </w:rPr>
      </w:pPr>
    </w:p>
    <w:p w14:paraId="7D081172">
      <w:pPr>
        <w:pStyle w:val="2"/>
        <w:spacing w:line="360" w:lineRule="auto"/>
        <w:rPr>
          <w:highlight w:val="none"/>
        </w:rPr>
      </w:pPr>
    </w:p>
    <w:p w14:paraId="5EE72623">
      <w:pPr>
        <w:spacing w:before="260" w:after="260" w:line="360" w:lineRule="auto"/>
        <w:jc w:val="center"/>
        <w:outlineLvl w:val="1"/>
        <w:rPr>
          <w:sz w:val="32"/>
          <w:szCs w:val="32"/>
          <w:highlight w:val="none"/>
        </w:rPr>
      </w:pPr>
      <w:bookmarkStart w:id="719" w:name="_Toc25585"/>
      <w:bookmarkStart w:id="720" w:name="_Toc10087"/>
      <w:bookmarkStart w:id="721" w:name="_Toc11008"/>
      <w:bookmarkStart w:id="722" w:name="_Toc22453"/>
      <w:bookmarkStart w:id="723" w:name="_Toc576"/>
      <w:bookmarkStart w:id="724" w:name="_Toc31634"/>
      <w:bookmarkStart w:id="725" w:name="_Toc508133977"/>
      <w:bookmarkStart w:id="726" w:name="_Toc31352"/>
      <w:bookmarkStart w:id="727" w:name="_Toc9008"/>
      <w:bookmarkStart w:id="728" w:name="_Toc20295"/>
      <w:bookmarkStart w:id="729" w:name="_Toc1854"/>
      <w:bookmarkStart w:id="730" w:name="_Toc12735"/>
      <w:bookmarkStart w:id="731" w:name="_Toc17688"/>
      <w:bookmarkStart w:id="732" w:name="_Toc1000"/>
      <w:bookmarkStart w:id="733" w:name="_Toc17232"/>
      <w:bookmarkStart w:id="734" w:name="_Toc1844"/>
      <w:bookmarkStart w:id="735" w:name="_Toc21077"/>
      <w:bookmarkStart w:id="736" w:name="_Toc30890"/>
      <w:bookmarkStart w:id="737" w:name="_Toc4316"/>
      <w:bookmarkStart w:id="738" w:name="_Toc23277"/>
      <w:bookmarkStart w:id="739" w:name="_Toc18451"/>
      <w:bookmarkStart w:id="740" w:name="_Toc13289"/>
      <w:bookmarkStart w:id="741" w:name="_Toc25264"/>
      <w:bookmarkStart w:id="742" w:name="_Toc20706"/>
      <w:r>
        <w:rPr>
          <w:rFonts w:hint="eastAsia"/>
          <w:b/>
          <w:bCs/>
          <w:sz w:val="32"/>
          <w:szCs w:val="32"/>
          <w:highlight w:val="none"/>
        </w:rPr>
        <w:t>二</w:t>
      </w:r>
      <w:r>
        <w:rPr>
          <w:b/>
          <w:bCs/>
          <w:sz w:val="32"/>
          <w:szCs w:val="32"/>
          <w:highlight w:val="none"/>
        </w:rPr>
        <w:t>、</w:t>
      </w:r>
      <w:r>
        <w:rPr>
          <w:rFonts w:hint="eastAsia"/>
          <w:b/>
          <w:bCs/>
          <w:sz w:val="32"/>
          <w:szCs w:val="32"/>
          <w:highlight w:val="none"/>
        </w:rPr>
        <w:t>供应商</w:t>
      </w:r>
      <w:r>
        <w:rPr>
          <w:b/>
          <w:bCs/>
          <w:sz w:val="32"/>
          <w:szCs w:val="32"/>
          <w:highlight w:val="none"/>
        </w:rPr>
        <w:t>基本情况表</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tbl>
      <w:tblPr>
        <w:tblStyle w:val="18"/>
        <w:tblW w:w="9073"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834"/>
        <w:gridCol w:w="978"/>
        <w:gridCol w:w="1215"/>
        <w:gridCol w:w="1248"/>
        <w:gridCol w:w="8"/>
        <w:gridCol w:w="1318"/>
        <w:gridCol w:w="160"/>
        <w:gridCol w:w="1012"/>
        <w:gridCol w:w="1300"/>
      </w:tblGrid>
      <w:tr w14:paraId="06517308">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834" w:type="dxa"/>
            <w:noWrap w:val="0"/>
            <w:vAlign w:val="center"/>
          </w:tcPr>
          <w:p w14:paraId="2FDC5D85">
            <w:pPr>
              <w:autoSpaceDE w:val="0"/>
              <w:autoSpaceDN w:val="0"/>
              <w:spacing w:after="160" w:line="360" w:lineRule="auto"/>
              <w:jc w:val="center"/>
              <w:rPr>
                <w:rFonts w:ascii="微软雅黑" w:hAnsi="宋体"/>
                <w:highlight w:val="none"/>
              </w:rPr>
            </w:pPr>
            <w:r>
              <w:rPr>
                <w:rFonts w:hint="eastAsia" w:ascii="微软雅黑" w:hAnsi="宋体"/>
                <w:highlight w:val="none"/>
              </w:rPr>
              <w:t>供应商</w:t>
            </w:r>
            <w:r>
              <w:rPr>
                <w:rFonts w:ascii="微软雅黑" w:hAnsi="宋体"/>
                <w:highlight w:val="none"/>
              </w:rPr>
              <w:t>名称</w:t>
            </w:r>
          </w:p>
        </w:tc>
        <w:tc>
          <w:tcPr>
            <w:tcW w:w="7239" w:type="dxa"/>
            <w:gridSpan w:val="8"/>
            <w:noWrap w:val="0"/>
            <w:vAlign w:val="center"/>
          </w:tcPr>
          <w:p w14:paraId="07C08BFE">
            <w:pPr>
              <w:autoSpaceDE w:val="0"/>
              <w:autoSpaceDN w:val="0"/>
              <w:spacing w:after="160" w:line="360" w:lineRule="auto"/>
              <w:jc w:val="center"/>
              <w:rPr>
                <w:rFonts w:ascii="微软雅黑" w:hAnsi="宋体"/>
                <w:highlight w:val="none"/>
              </w:rPr>
            </w:pPr>
          </w:p>
        </w:tc>
      </w:tr>
      <w:tr w14:paraId="7CDC8F6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834" w:type="dxa"/>
            <w:noWrap w:val="0"/>
            <w:vAlign w:val="center"/>
          </w:tcPr>
          <w:p w14:paraId="5E62A913">
            <w:pPr>
              <w:autoSpaceDE w:val="0"/>
              <w:autoSpaceDN w:val="0"/>
              <w:spacing w:after="160" w:line="360" w:lineRule="auto"/>
              <w:jc w:val="center"/>
              <w:rPr>
                <w:rFonts w:ascii="微软雅黑" w:hAnsi="宋体"/>
                <w:highlight w:val="none"/>
              </w:rPr>
            </w:pPr>
            <w:r>
              <w:rPr>
                <w:rFonts w:ascii="微软雅黑" w:hAnsi="宋体"/>
                <w:highlight w:val="none"/>
              </w:rPr>
              <w:t>注册地址</w:t>
            </w:r>
          </w:p>
        </w:tc>
        <w:tc>
          <w:tcPr>
            <w:tcW w:w="3449" w:type="dxa"/>
            <w:gridSpan w:val="4"/>
            <w:noWrap w:val="0"/>
            <w:vAlign w:val="center"/>
          </w:tcPr>
          <w:p w14:paraId="7AFCF8DF">
            <w:pPr>
              <w:autoSpaceDE w:val="0"/>
              <w:autoSpaceDN w:val="0"/>
              <w:spacing w:after="160" w:line="360" w:lineRule="auto"/>
              <w:jc w:val="center"/>
              <w:rPr>
                <w:rFonts w:ascii="微软雅黑" w:hAnsi="宋体"/>
                <w:highlight w:val="none"/>
              </w:rPr>
            </w:pPr>
          </w:p>
        </w:tc>
        <w:tc>
          <w:tcPr>
            <w:tcW w:w="1318" w:type="dxa"/>
            <w:noWrap w:val="0"/>
            <w:vAlign w:val="center"/>
          </w:tcPr>
          <w:p w14:paraId="6BAF1044">
            <w:pPr>
              <w:autoSpaceDE w:val="0"/>
              <w:autoSpaceDN w:val="0"/>
              <w:spacing w:after="160" w:line="360" w:lineRule="auto"/>
              <w:jc w:val="center"/>
              <w:rPr>
                <w:rFonts w:ascii="微软雅黑" w:hAnsi="宋体"/>
                <w:highlight w:val="none"/>
              </w:rPr>
            </w:pPr>
            <w:r>
              <w:rPr>
                <w:rFonts w:ascii="微软雅黑" w:hAnsi="宋体"/>
                <w:highlight w:val="none"/>
              </w:rPr>
              <w:t>邮政编码</w:t>
            </w:r>
          </w:p>
        </w:tc>
        <w:tc>
          <w:tcPr>
            <w:tcW w:w="2472" w:type="dxa"/>
            <w:gridSpan w:val="3"/>
            <w:noWrap w:val="0"/>
            <w:vAlign w:val="center"/>
          </w:tcPr>
          <w:p w14:paraId="70136745">
            <w:pPr>
              <w:autoSpaceDE w:val="0"/>
              <w:autoSpaceDN w:val="0"/>
              <w:spacing w:after="160" w:line="360" w:lineRule="auto"/>
              <w:jc w:val="center"/>
              <w:rPr>
                <w:rFonts w:ascii="微软雅黑" w:hAnsi="宋体"/>
                <w:highlight w:val="none"/>
              </w:rPr>
            </w:pPr>
          </w:p>
        </w:tc>
      </w:tr>
      <w:tr w14:paraId="0929D5AB">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93" w:hRule="atLeast"/>
          <w:jc w:val="center"/>
        </w:trPr>
        <w:tc>
          <w:tcPr>
            <w:tcW w:w="1834" w:type="dxa"/>
            <w:noWrap w:val="0"/>
            <w:vAlign w:val="center"/>
          </w:tcPr>
          <w:p w14:paraId="5A8D17E6">
            <w:pPr>
              <w:autoSpaceDE w:val="0"/>
              <w:autoSpaceDN w:val="0"/>
              <w:spacing w:after="160" w:line="360" w:lineRule="auto"/>
              <w:jc w:val="center"/>
              <w:rPr>
                <w:rFonts w:ascii="微软雅黑" w:hAnsi="宋体"/>
                <w:highlight w:val="none"/>
              </w:rPr>
            </w:pPr>
            <w:r>
              <w:rPr>
                <w:rFonts w:ascii="微软雅黑" w:hAnsi="宋体"/>
                <w:highlight w:val="none"/>
              </w:rPr>
              <w:t>联系方式</w:t>
            </w:r>
          </w:p>
        </w:tc>
        <w:tc>
          <w:tcPr>
            <w:tcW w:w="978" w:type="dxa"/>
            <w:noWrap w:val="0"/>
            <w:vAlign w:val="center"/>
          </w:tcPr>
          <w:p w14:paraId="29C07D47">
            <w:pPr>
              <w:autoSpaceDE w:val="0"/>
              <w:autoSpaceDN w:val="0"/>
              <w:spacing w:after="160" w:line="360" w:lineRule="auto"/>
              <w:jc w:val="center"/>
              <w:rPr>
                <w:rFonts w:ascii="微软雅黑" w:hAnsi="宋体"/>
                <w:highlight w:val="none"/>
              </w:rPr>
            </w:pPr>
            <w:r>
              <w:rPr>
                <w:rFonts w:ascii="微软雅黑" w:hAnsi="宋体"/>
                <w:highlight w:val="none"/>
              </w:rPr>
              <w:t>联系人</w:t>
            </w:r>
          </w:p>
        </w:tc>
        <w:tc>
          <w:tcPr>
            <w:tcW w:w="2463" w:type="dxa"/>
            <w:gridSpan w:val="2"/>
            <w:noWrap w:val="0"/>
            <w:vAlign w:val="center"/>
          </w:tcPr>
          <w:p w14:paraId="1DDA401E">
            <w:pPr>
              <w:autoSpaceDE w:val="0"/>
              <w:autoSpaceDN w:val="0"/>
              <w:spacing w:after="160" w:line="360" w:lineRule="auto"/>
              <w:jc w:val="center"/>
              <w:rPr>
                <w:rFonts w:ascii="微软雅黑" w:hAnsi="宋体"/>
                <w:highlight w:val="none"/>
              </w:rPr>
            </w:pPr>
          </w:p>
        </w:tc>
        <w:tc>
          <w:tcPr>
            <w:tcW w:w="1326" w:type="dxa"/>
            <w:gridSpan w:val="2"/>
            <w:noWrap w:val="0"/>
            <w:vAlign w:val="center"/>
          </w:tcPr>
          <w:p w14:paraId="2A1865D5">
            <w:pPr>
              <w:autoSpaceDE w:val="0"/>
              <w:autoSpaceDN w:val="0"/>
              <w:spacing w:after="160" w:line="360" w:lineRule="auto"/>
              <w:jc w:val="center"/>
              <w:rPr>
                <w:rFonts w:ascii="微软雅黑" w:hAnsi="宋体"/>
                <w:highlight w:val="none"/>
              </w:rPr>
            </w:pPr>
            <w:r>
              <w:rPr>
                <w:rFonts w:ascii="微软雅黑" w:hAnsi="宋体"/>
                <w:highlight w:val="none"/>
              </w:rPr>
              <w:t>电话</w:t>
            </w:r>
          </w:p>
        </w:tc>
        <w:tc>
          <w:tcPr>
            <w:tcW w:w="2472" w:type="dxa"/>
            <w:gridSpan w:val="3"/>
            <w:noWrap w:val="0"/>
            <w:vAlign w:val="center"/>
          </w:tcPr>
          <w:p w14:paraId="0B84EE2E">
            <w:pPr>
              <w:autoSpaceDE w:val="0"/>
              <w:autoSpaceDN w:val="0"/>
              <w:spacing w:after="160" w:line="360" w:lineRule="auto"/>
              <w:jc w:val="center"/>
              <w:rPr>
                <w:rFonts w:ascii="微软雅黑" w:hAnsi="宋体"/>
                <w:highlight w:val="none"/>
              </w:rPr>
            </w:pPr>
          </w:p>
        </w:tc>
      </w:tr>
      <w:tr w14:paraId="6860CA29">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1834" w:type="dxa"/>
            <w:noWrap w:val="0"/>
            <w:vAlign w:val="center"/>
          </w:tcPr>
          <w:p w14:paraId="2773B098">
            <w:pPr>
              <w:autoSpaceDE w:val="0"/>
              <w:autoSpaceDN w:val="0"/>
              <w:spacing w:after="160" w:line="360" w:lineRule="auto"/>
              <w:jc w:val="center"/>
              <w:rPr>
                <w:rFonts w:ascii="微软雅黑" w:hAnsi="宋体"/>
                <w:highlight w:val="none"/>
              </w:rPr>
            </w:pPr>
            <w:r>
              <w:rPr>
                <w:rFonts w:ascii="微软雅黑" w:hAnsi="宋体"/>
                <w:highlight w:val="none"/>
              </w:rPr>
              <w:t>组织结构</w:t>
            </w:r>
          </w:p>
        </w:tc>
        <w:tc>
          <w:tcPr>
            <w:tcW w:w="7239" w:type="dxa"/>
            <w:gridSpan w:val="8"/>
            <w:noWrap w:val="0"/>
            <w:vAlign w:val="center"/>
          </w:tcPr>
          <w:p w14:paraId="2B92A7BA">
            <w:pPr>
              <w:autoSpaceDE w:val="0"/>
              <w:autoSpaceDN w:val="0"/>
              <w:spacing w:after="160" w:line="360" w:lineRule="auto"/>
              <w:jc w:val="center"/>
              <w:rPr>
                <w:rFonts w:ascii="微软雅黑" w:hAnsi="宋体"/>
                <w:highlight w:val="none"/>
              </w:rPr>
            </w:pPr>
          </w:p>
        </w:tc>
      </w:tr>
      <w:tr w14:paraId="1B84CB5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834" w:type="dxa"/>
            <w:noWrap w:val="0"/>
            <w:vAlign w:val="center"/>
          </w:tcPr>
          <w:p w14:paraId="5FC75D9B">
            <w:pPr>
              <w:autoSpaceDE w:val="0"/>
              <w:autoSpaceDN w:val="0"/>
              <w:spacing w:after="160" w:line="360" w:lineRule="auto"/>
              <w:jc w:val="center"/>
              <w:rPr>
                <w:rFonts w:ascii="微软雅黑" w:hAnsi="宋体"/>
                <w:highlight w:val="none"/>
              </w:rPr>
            </w:pPr>
            <w:r>
              <w:rPr>
                <w:rFonts w:ascii="微软雅黑" w:hAnsi="宋体"/>
                <w:highlight w:val="none"/>
              </w:rPr>
              <w:t>法定代表人</w:t>
            </w:r>
          </w:p>
        </w:tc>
        <w:tc>
          <w:tcPr>
            <w:tcW w:w="978" w:type="dxa"/>
            <w:noWrap w:val="0"/>
            <w:vAlign w:val="center"/>
          </w:tcPr>
          <w:p w14:paraId="025A14F9">
            <w:pPr>
              <w:autoSpaceDE w:val="0"/>
              <w:autoSpaceDN w:val="0"/>
              <w:spacing w:after="160" w:line="360" w:lineRule="auto"/>
              <w:jc w:val="center"/>
              <w:rPr>
                <w:rFonts w:ascii="微软雅黑" w:hAnsi="宋体"/>
                <w:highlight w:val="none"/>
              </w:rPr>
            </w:pPr>
            <w:r>
              <w:rPr>
                <w:rFonts w:ascii="微软雅黑" w:hAnsi="宋体"/>
                <w:highlight w:val="none"/>
              </w:rPr>
              <w:t>姓名</w:t>
            </w:r>
          </w:p>
        </w:tc>
        <w:tc>
          <w:tcPr>
            <w:tcW w:w="1215" w:type="dxa"/>
            <w:noWrap w:val="0"/>
            <w:vAlign w:val="center"/>
          </w:tcPr>
          <w:p w14:paraId="178D9B8B">
            <w:pPr>
              <w:autoSpaceDE w:val="0"/>
              <w:autoSpaceDN w:val="0"/>
              <w:spacing w:after="160" w:line="360" w:lineRule="auto"/>
              <w:jc w:val="center"/>
              <w:rPr>
                <w:rFonts w:ascii="微软雅黑" w:hAnsi="宋体"/>
                <w:highlight w:val="none"/>
              </w:rPr>
            </w:pPr>
          </w:p>
        </w:tc>
        <w:tc>
          <w:tcPr>
            <w:tcW w:w="1248" w:type="dxa"/>
            <w:noWrap w:val="0"/>
            <w:vAlign w:val="center"/>
          </w:tcPr>
          <w:p w14:paraId="60B3EC2E">
            <w:pPr>
              <w:autoSpaceDE w:val="0"/>
              <w:autoSpaceDN w:val="0"/>
              <w:spacing w:after="160" w:line="360" w:lineRule="auto"/>
              <w:jc w:val="center"/>
              <w:rPr>
                <w:rFonts w:ascii="微软雅黑" w:hAnsi="宋体"/>
                <w:highlight w:val="none"/>
              </w:rPr>
            </w:pPr>
            <w:r>
              <w:rPr>
                <w:rFonts w:ascii="微软雅黑" w:hAnsi="宋体"/>
                <w:highlight w:val="none"/>
              </w:rPr>
              <w:t>技术职称</w:t>
            </w:r>
          </w:p>
        </w:tc>
        <w:tc>
          <w:tcPr>
            <w:tcW w:w="1326" w:type="dxa"/>
            <w:gridSpan w:val="2"/>
            <w:noWrap w:val="0"/>
            <w:vAlign w:val="center"/>
          </w:tcPr>
          <w:p w14:paraId="591594CF">
            <w:pPr>
              <w:autoSpaceDE w:val="0"/>
              <w:autoSpaceDN w:val="0"/>
              <w:spacing w:after="160" w:line="360" w:lineRule="auto"/>
              <w:jc w:val="center"/>
              <w:rPr>
                <w:rFonts w:ascii="微软雅黑" w:hAnsi="宋体"/>
                <w:highlight w:val="none"/>
              </w:rPr>
            </w:pPr>
          </w:p>
        </w:tc>
        <w:tc>
          <w:tcPr>
            <w:tcW w:w="1172" w:type="dxa"/>
            <w:gridSpan w:val="2"/>
            <w:noWrap w:val="0"/>
            <w:vAlign w:val="center"/>
          </w:tcPr>
          <w:p w14:paraId="2FEC6D43">
            <w:pPr>
              <w:autoSpaceDE w:val="0"/>
              <w:autoSpaceDN w:val="0"/>
              <w:spacing w:after="160" w:line="360" w:lineRule="auto"/>
              <w:jc w:val="center"/>
              <w:rPr>
                <w:rFonts w:ascii="微软雅黑" w:hAnsi="宋体"/>
                <w:highlight w:val="none"/>
              </w:rPr>
            </w:pPr>
            <w:r>
              <w:rPr>
                <w:rFonts w:ascii="微软雅黑" w:hAnsi="宋体"/>
                <w:highlight w:val="none"/>
              </w:rPr>
              <w:t>电话</w:t>
            </w:r>
          </w:p>
        </w:tc>
        <w:tc>
          <w:tcPr>
            <w:tcW w:w="1300" w:type="dxa"/>
            <w:noWrap w:val="0"/>
            <w:vAlign w:val="center"/>
          </w:tcPr>
          <w:p w14:paraId="02DDA3D5">
            <w:pPr>
              <w:autoSpaceDE w:val="0"/>
              <w:autoSpaceDN w:val="0"/>
              <w:spacing w:after="160" w:line="360" w:lineRule="auto"/>
              <w:jc w:val="center"/>
              <w:rPr>
                <w:rFonts w:ascii="微软雅黑" w:hAnsi="宋体"/>
                <w:b/>
                <w:highlight w:val="none"/>
              </w:rPr>
            </w:pPr>
          </w:p>
        </w:tc>
      </w:tr>
      <w:tr w14:paraId="79F721EC">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834" w:type="dxa"/>
            <w:noWrap w:val="0"/>
            <w:vAlign w:val="center"/>
          </w:tcPr>
          <w:p w14:paraId="2EE384C7">
            <w:pPr>
              <w:autoSpaceDE w:val="0"/>
              <w:autoSpaceDN w:val="0"/>
              <w:spacing w:after="160" w:line="360" w:lineRule="auto"/>
              <w:jc w:val="center"/>
              <w:rPr>
                <w:rFonts w:ascii="微软雅黑" w:hAnsi="宋体"/>
                <w:highlight w:val="none"/>
              </w:rPr>
            </w:pPr>
            <w:r>
              <w:rPr>
                <w:rFonts w:ascii="微软雅黑" w:hAnsi="宋体"/>
                <w:highlight w:val="none"/>
              </w:rPr>
              <w:t>技术负责人</w:t>
            </w:r>
          </w:p>
        </w:tc>
        <w:tc>
          <w:tcPr>
            <w:tcW w:w="978" w:type="dxa"/>
            <w:noWrap w:val="0"/>
            <w:vAlign w:val="center"/>
          </w:tcPr>
          <w:p w14:paraId="350BC04D">
            <w:pPr>
              <w:autoSpaceDE w:val="0"/>
              <w:autoSpaceDN w:val="0"/>
              <w:spacing w:after="160" w:line="360" w:lineRule="auto"/>
              <w:jc w:val="center"/>
              <w:rPr>
                <w:rFonts w:ascii="微软雅黑" w:hAnsi="宋体"/>
                <w:highlight w:val="none"/>
              </w:rPr>
            </w:pPr>
            <w:r>
              <w:rPr>
                <w:rFonts w:ascii="微软雅黑" w:hAnsi="宋体"/>
                <w:highlight w:val="none"/>
              </w:rPr>
              <w:t>姓名</w:t>
            </w:r>
          </w:p>
        </w:tc>
        <w:tc>
          <w:tcPr>
            <w:tcW w:w="1215" w:type="dxa"/>
            <w:noWrap w:val="0"/>
            <w:vAlign w:val="center"/>
          </w:tcPr>
          <w:p w14:paraId="21811E94">
            <w:pPr>
              <w:autoSpaceDE w:val="0"/>
              <w:autoSpaceDN w:val="0"/>
              <w:spacing w:after="160" w:line="360" w:lineRule="auto"/>
              <w:jc w:val="center"/>
              <w:rPr>
                <w:rFonts w:ascii="微软雅黑" w:hAnsi="宋体"/>
                <w:highlight w:val="none"/>
              </w:rPr>
            </w:pPr>
          </w:p>
        </w:tc>
        <w:tc>
          <w:tcPr>
            <w:tcW w:w="1248" w:type="dxa"/>
            <w:noWrap w:val="0"/>
            <w:vAlign w:val="center"/>
          </w:tcPr>
          <w:p w14:paraId="74004825">
            <w:pPr>
              <w:autoSpaceDE w:val="0"/>
              <w:autoSpaceDN w:val="0"/>
              <w:spacing w:after="160" w:line="360" w:lineRule="auto"/>
              <w:jc w:val="center"/>
              <w:rPr>
                <w:rFonts w:ascii="微软雅黑" w:hAnsi="宋体"/>
                <w:highlight w:val="none"/>
              </w:rPr>
            </w:pPr>
            <w:r>
              <w:rPr>
                <w:rFonts w:ascii="微软雅黑" w:hAnsi="宋体"/>
                <w:highlight w:val="none"/>
              </w:rPr>
              <w:t>技术职称</w:t>
            </w:r>
          </w:p>
        </w:tc>
        <w:tc>
          <w:tcPr>
            <w:tcW w:w="1326" w:type="dxa"/>
            <w:gridSpan w:val="2"/>
            <w:noWrap w:val="0"/>
            <w:vAlign w:val="center"/>
          </w:tcPr>
          <w:p w14:paraId="7B1975EE">
            <w:pPr>
              <w:autoSpaceDE w:val="0"/>
              <w:autoSpaceDN w:val="0"/>
              <w:spacing w:after="160" w:line="360" w:lineRule="auto"/>
              <w:jc w:val="center"/>
              <w:rPr>
                <w:rFonts w:ascii="微软雅黑" w:hAnsi="宋体"/>
                <w:highlight w:val="none"/>
              </w:rPr>
            </w:pPr>
          </w:p>
        </w:tc>
        <w:tc>
          <w:tcPr>
            <w:tcW w:w="1172" w:type="dxa"/>
            <w:gridSpan w:val="2"/>
            <w:noWrap w:val="0"/>
            <w:vAlign w:val="center"/>
          </w:tcPr>
          <w:p w14:paraId="3E463511">
            <w:pPr>
              <w:autoSpaceDE w:val="0"/>
              <w:autoSpaceDN w:val="0"/>
              <w:spacing w:after="160" w:line="360" w:lineRule="auto"/>
              <w:jc w:val="center"/>
              <w:rPr>
                <w:rFonts w:ascii="微软雅黑" w:hAnsi="宋体"/>
                <w:highlight w:val="none"/>
              </w:rPr>
            </w:pPr>
            <w:r>
              <w:rPr>
                <w:rFonts w:ascii="微软雅黑" w:hAnsi="宋体"/>
                <w:highlight w:val="none"/>
              </w:rPr>
              <w:t>电话</w:t>
            </w:r>
          </w:p>
        </w:tc>
        <w:tc>
          <w:tcPr>
            <w:tcW w:w="1300" w:type="dxa"/>
            <w:noWrap w:val="0"/>
            <w:vAlign w:val="center"/>
          </w:tcPr>
          <w:p w14:paraId="02FCC6B9">
            <w:pPr>
              <w:autoSpaceDE w:val="0"/>
              <w:autoSpaceDN w:val="0"/>
              <w:spacing w:after="160" w:line="360" w:lineRule="auto"/>
              <w:jc w:val="center"/>
              <w:rPr>
                <w:rFonts w:ascii="微软雅黑" w:hAnsi="宋体"/>
                <w:b/>
                <w:highlight w:val="none"/>
              </w:rPr>
            </w:pPr>
          </w:p>
        </w:tc>
      </w:tr>
      <w:tr w14:paraId="10F47DA2">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834" w:type="dxa"/>
            <w:noWrap w:val="0"/>
            <w:vAlign w:val="center"/>
          </w:tcPr>
          <w:p w14:paraId="5842036B">
            <w:pPr>
              <w:autoSpaceDE w:val="0"/>
              <w:autoSpaceDN w:val="0"/>
              <w:spacing w:after="160" w:line="360" w:lineRule="auto"/>
              <w:jc w:val="center"/>
              <w:rPr>
                <w:rFonts w:ascii="微软雅黑" w:hAnsi="宋体"/>
                <w:highlight w:val="none"/>
              </w:rPr>
            </w:pPr>
            <w:r>
              <w:rPr>
                <w:rFonts w:ascii="微软雅黑" w:hAnsi="宋体"/>
                <w:highlight w:val="none"/>
              </w:rPr>
              <w:t>成立时间</w:t>
            </w:r>
          </w:p>
        </w:tc>
        <w:tc>
          <w:tcPr>
            <w:tcW w:w="2193" w:type="dxa"/>
            <w:gridSpan w:val="2"/>
            <w:noWrap w:val="0"/>
            <w:vAlign w:val="center"/>
          </w:tcPr>
          <w:p w14:paraId="0DF66EF0">
            <w:pPr>
              <w:autoSpaceDE w:val="0"/>
              <w:autoSpaceDN w:val="0"/>
              <w:spacing w:after="160" w:line="360" w:lineRule="auto"/>
              <w:jc w:val="center"/>
              <w:rPr>
                <w:rFonts w:ascii="微软雅黑" w:hAnsi="宋体"/>
                <w:highlight w:val="none"/>
              </w:rPr>
            </w:pPr>
          </w:p>
        </w:tc>
        <w:tc>
          <w:tcPr>
            <w:tcW w:w="5046" w:type="dxa"/>
            <w:gridSpan w:val="6"/>
            <w:noWrap w:val="0"/>
            <w:vAlign w:val="center"/>
          </w:tcPr>
          <w:p w14:paraId="382C38FA">
            <w:pPr>
              <w:autoSpaceDE w:val="0"/>
              <w:autoSpaceDN w:val="0"/>
              <w:spacing w:after="160" w:line="360" w:lineRule="auto"/>
              <w:ind w:firstLine="1470"/>
              <w:rPr>
                <w:rFonts w:ascii="微软雅黑" w:hAnsi="宋体"/>
                <w:highlight w:val="none"/>
              </w:rPr>
            </w:pPr>
            <w:r>
              <w:rPr>
                <w:rFonts w:ascii="微软雅黑" w:hAnsi="宋体"/>
                <w:highlight w:val="none"/>
              </w:rPr>
              <w:t>员工总人数：</w:t>
            </w:r>
          </w:p>
        </w:tc>
      </w:tr>
      <w:tr w14:paraId="2CE84D6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834" w:type="dxa"/>
            <w:noWrap w:val="0"/>
            <w:vAlign w:val="center"/>
          </w:tcPr>
          <w:p w14:paraId="52D522A6">
            <w:pPr>
              <w:autoSpaceDE w:val="0"/>
              <w:autoSpaceDN w:val="0"/>
              <w:spacing w:after="160" w:line="360" w:lineRule="auto"/>
              <w:jc w:val="center"/>
              <w:rPr>
                <w:rFonts w:ascii="微软雅黑" w:hAnsi="宋体"/>
                <w:highlight w:val="none"/>
              </w:rPr>
            </w:pPr>
            <w:r>
              <w:rPr>
                <w:rFonts w:ascii="微软雅黑" w:hAnsi="宋体"/>
                <w:highlight w:val="none"/>
              </w:rPr>
              <w:t>营业执照号</w:t>
            </w:r>
          </w:p>
        </w:tc>
        <w:tc>
          <w:tcPr>
            <w:tcW w:w="2193" w:type="dxa"/>
            <w:gridSpan w:val="2"/>
            <w:noWrap w:val="0"/>
            <w:vAlign w:val="center"/>
          </w:tcPr>
          <w:p w14:paraId="18329C9E">
            <w:pPr>
              <w:autoSpaceDE w:val="0"/>
              <w:autoSpaceDN w:val="0"/>
              <w:spacing w:after="160" w:line="360" w:lineRule="auto"/>
              <w:jc w:val="center"/>
              <w:rPr>
                <w:rFonts w:ascii="微软雅黑" w:hAnsi="宋体"/>
                <w:highlight w:val="none"/>
              </w:rPr>
            </w:pPr>
          </w:p>
        </w:tc>
        <w:tc>
          <w:tcPr>
            <w:tcW w:w="1248" w:type="dxa"/>
            <w:vMerge w:val="restart"/>
            <w:noWrap w:val="0"/>
            <w:vAlign w:val="center"/>
          </w:tcPr>
          <w:p w14:paraId="0172B3B3">
            <w:pPr>
              <w:autoSpaceDE w:val="0"/>
              <w:autoSpaceDN w:val="0"/>
              <w:spacing w:after="160" w:line="360" w:lineRule="auto"/>
              <w:jc w:val="center"/>
              <w:rPr>
                <w:rFonts w:ascii="微软雅黑" w:hAnsi="宋体"/>
                <w:highlight w:val="none"/>
              </w:rPr>
            </w:pPr>
            <w:r>
              <w:rPr>
                <w:rFonts w:ascii="微软雅黑" w:hAnsi="宋体"/>
                <w:highlight w:val="none"/>
              </w:rPr>
              <w:t>其中</w:t>
            </w:r>
          </w:p>
        </w:tc>
        <w:tc>
          <w:tcPr>
            <w:tcW w:w="1486" w:type="dxa"/>
            <w:gridSpan w:val="3"/>
            <w:noWrap w:val="0"/>
            <w:vAlign w:val="center"/>
          </w:tcPr>
          <w:p w14:paraId="7B67958E">
            <w:pPr>
              <w:autoSpaceDE w:val="0"/>
              <w:autoSpaceDN w:val="0"/>
              <w:spacing w:after="160" w:line="360" w:lineRule="auto"/>
              <w:jc w:val="center"/>
              <w:rPr>
                <w:rFonts w:ascii="微软雅黑" w:hAnsi="宋体"/>
                <w:highlight w:val="none"/>
              </w:rPr>
            </w:pPr>
            <w:r>
              <w:rPr>
                <w:rFonts w:ascii="微软雅黑" w:hAnsi="宋体"/>
                <w:highlight w:val="none"/>
              </w:rPr>
              <w:t>项目</w:t>
            </w:r>
            <w:r>
              <w:rPr>
                <w:rFonts w:hint="eastAsia" w:ascii="微软雅黑" w:hAnsi="宋体"/>
                <w:highlight w:val="none"/>
              </w:rPr>
              <w:t>负责人</w:t>
            </w:r>
          </w:p>
        </w:tc>
        <w:tc>
          <w:tcPr>
            <w:tcW w:w="2312" w:type="dxa"/>
            <w:gridSpan w:val="2"/>
            <w:noWrap w:val="0"/>
            <w:vAlign w:val="center"/>
          </w:tcPr>
          <w:p w14:paraId="7F4D165E">
            <w:pPr>
              <w:autoSpaceDE w:val="0"/>
              <w:autoSpaceDN w:val="0"/>
              <w:spacing w:after="160" w:line="360" w:lineRule="auto"/>
              <w:jc w:val="center"/>
              <w:rPr>
                <w:rFonts w:ascii="微软雅黑" w:hAnsi="宋体"/>
                <w:b/>
                <w:highlight w:val="none"/>
              </w:rPr>
            </w:pPr>
          </w:p>
        </w:tc>
      </w:tr>
      <w:tr w14:paraId="5DB8D86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834" w:type="dxa"/>
            <w:noWrap w:val="0"/>
            <w:vAlign w:val="center"/>
          </w:tcPr>
          <w:p w14:paraId="255BB3CD">
            <w:pPr>
              <w:autoSpaceDE w:val="0"/>
              <w:autoSpaceDN w:val="0"/>
              <w:spacing w:after="160" w:line="360" w:lineRule="auto"/>
              <w:jc w:val="center"/>
              <w:rPr>
                <w:rFonts w:ascii="微软雅黑" w:hAnsi="宋体"/>
                <w:highlight w:val="none"/>
              </w:rPr>
            </w:pPr>
            <w:r>
              <w:rPr>
                <w:rFonts w:ascii="微软雅黑" w:hAnsi="宋体"/>
                <w:highlight w:val="none"/>
              </w:rPr>
              <w:t>注册资金</w:t>
            </w:r>
          </w:p>
        </w:tc>
        <w:tc>
          <w:tcPr>
            <w:tcW w:w="2193" w:type="dxa"/>
            <w:gridSpan w:val="2"/>
            <w:noWrap w:val="0"/>
            <w:vAlign w:val="center"/>
          </w:tcPr>
          <w:p w14:paraId="74797174">
            <w:pPr>
              <w:autoSpaceDE w:val="0"/>
              <w:autoSpaceDN w:val="0"/>
              <w:spacing w:after="160" w:line="360" w:lineRule="auto"/>
              <w:jc w:val="center"/>
              <w:rPr>
                <w:rFonts w:ascii="微软雅黑" w:hAnsi="宋体"/>
                <w:highlight w:val="none"/>
              </w:rPr>
            </w:pPr>
          </w:p>
        </w:tc>
        <w:tc>
          <w:tcPr>
            <w:tcW w:w="1248" w:type="dxa"/>
            <w:vMerge w:val="continue"/>
            <w:noWrap w:val="0"/>
            <w:vAlign w:val="center"/>
          </w:tcPr>
          <w:p w14:paraId="1F5B30F7">
            <w:pPr>
              <w:spacing w:line="360" w:lineRule="auto"/>
              <w:rPr>
                <w:highlight w:val="none"/>
              </w:rPr>
            </w:pPr>
          </w:p>
        </w:tc>
        <w:tc>
          <w:tcPr>
            <w:tcW w:w="1486" w:type="dxa"/>
            <w:gridSpan w:val="3"/>
            <w:noWrap w:val="0"/>
            <w:vAlign w:val="center"/>
          </w:tcPr>
          <w:p w14:paraId="338DD4B5">
            <w:pPr>
              <w:autoSpaceDE w:val="0"/>
              <w:autoSpaceDN w:val="0"/>
              <w:spacing w:after="160" w:line="360" w:lineRule="auto"/>
              <w:jc w:val="center"/>
              <w:rPr>
                <w:rFonts w:ascii="微软雅黑" w:hAnsi="宋体"/>
                <w:highlight w:val="none"/>
              </w:rPr>
            </w:pPr>
            <w:r>
              <w:rPr>
                <w:rFonts w:ascii="微软雅黑" w:hAnsi="宋体"/>
                <w:highlight w:val="none"/>
              </w:rPr>
              <w:t>高级职称人员</w:t>
            </w:r>
          </w:p>
        </w:tc>
        <w:tc>
          <w:tcPr>
            <w:tcW w:w="2312" w:type="dxa"/>
            <w:gridSpan w:val="2"/>
            <w:noWrap w:val="0"/>
            <w:vAlign w:val="center"/>
          </w:tcPr>
          <w:p w14:paraId="0497A14A">
            <w:pPr>
              <w:autoSpaceDE w:val="0"/>
              <w:autoSpaceDN w:val="0"/>
              <w:spacing w:after="160" w:line="360" w:lineRule="auto"/>
              <w:jc w:val="center"/>
              <w:rPr>
                <w:rFonts w:ascii="微软雅黑" w:hAnsi="宋体"/>
                <w:b/>
                <w:highlight w:val="none"/>
              </w:rPr>
            </w:pPr>
          </w:p>
        </w:tc>
      </w:tr>
      <w:tr w14:paraId="7A954EFB">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834" w:type="dxa"/>
            <w:noWrap w:val="0"/>
            <w:vAlign w:val="center"/>
          </w:tcPr>
          <w:p w14:paraId="4ADBFFF3">
            <w:pPr>
              <w:autoSpaceDE w:val="0"/>
              <w:autoSpaceDN w:val="0"/>
              <w:spacing w:after="160" w:line="360" w:lineRule="auto"/>
              <w:jc w:val="center"/>
              <w:rPr>
                <w:rFonts w:ascii="微软雅黑" w:hAnsi="宋体"/>
                <w:highlight w:val="none"/>
              </w:rPr>
            </w:pPr>
            <w:r>
              <w:rPr>
                <w:rFonts w:ascii="微软雅黑" w:hAnsi="宋体"/>
                <w:highlight w:val="none"/>
              </w:rPr>
              <w:t>开户银行</w:t>
            </w:r>
          </w:p>
        </w:tc>
        <w:tc>
          <w:tcPr>
            <w:tcW w:w="2193" w:type="dxa"/>
            <w:gridSpan w:val="2"/>
            <w:noWrap w:val="0"/>
            <w:vAlign w:val="center"/>
          </w:tcPr>
          <w:p w14:paraId="35563907">
            <w:pPr>
              <w:autoSpaceDE w:val="0"/>
              <w:autoSpaceDN w:val="0"/>
              <w:spacing w:after="160" w:line="360" w:lineRule="auto"/>
              <w:jc w:val="center"/>
              <w:rPr>
                <w:rFonts w:ascii="微软雅黑" w:hAnsi="宋体"/>
                <w:highlight w:val="none"/>
              </w:rPr>
            </w:pPr>
          </w:p>
        </w:tc>
        <w:tc>
          <w:tcPr>
            <w:tcW w:w="1248" w:type="dxa"/>
            <w:vMerge w:val="continue"/>
            <w:noWrap w:val="0"/>
            <w:vAlign w:val="center"/>
          </w:tcPr>
          <w:p w14:paraId="0636C67F">
            <w:pPr>
              <w:spacing w:line="360" w:lineRule="auto"/>
              <w:rPr>
                <w:highlight w:val="none"/>
              </w:rPr>
            </w:pPr>
          </w:p>
        </w:tc>
        <w:tc>
          <w:tcPr>
            <w:tcW w:w="1486" w:type="dxa"/>
            <w:gridSpan w:val="3"/>
            <w:noWrap w:val="0"/>
            <w:vAlign w:val="center"/>
          </w:tcPr>
          <w:p w14:paraId="0894B970">
            <w:pPr>
              <w:autoSpaceDE w:val="0"/>
              <w:autoSpaceDN w:val="0"/>
              <w:spacing w:after="160" w:line="360" w:lineRule="auto"/>
              <w:jc w:val="center"/>
              <w:rPr>
                <w:rFonts w:ascii="微软雅黑" w:hAnsi="宋体"/>
                <w:highlight w:val="none"/>
              </w:rPr>
            </w:pPr>
            <w:r>
              <w:rPr>
                <w:rFonts w:ascii="微软雅黑" w:hAnsi="宋体"/>
                <w:highlight w:val="none"/>
              </w:rPr>
              <w:t>中级职称人员</w:t>
            </w:r>
          </w:p>
        </w:tc>
        <w:tc>
          <w:tcPr>
            <w:tcW w:w="2312" w:type="dxa"/>
            <w:gridSpan w:val="2"/>
            <w:noWrap w:val="0"/>
            <w:vAlign w:val="center"/>
          </w:tcPr>
          <w:p w14:paraId="73EB8FD9">
            <w:pPr>
              <w:autoSpaceDE w:val="0"/>
              <w:autoSpaceDN w:val="0"/>
              <w:spacing w:after="160" w:line="360" w:lineRule="auto"/>
              <w:jc w:val="center"/>
              <w:rPr>
                <w:rFonts w:ascii="微软雅黑" w:hAnsi="宋体"/>
                <w:b/>
                <w:highlight w:val="none"/>
              </w:rPr>
            </w:pPr>
          </w:p>
        </w:tc>
      </w:tr>
      <w:tr w14:paraId="000C5E0E">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1834" w:type="dxa"/>
            <w:noWrap w:val="0"/>
            <w:vAlign w:val="center"/>
          </w:tcPr>
          <w:p w14:paraId="52C1A94B">
            <w:pPr>
              <w:autoSpaceDE w:val="0"/>
              <w:autoSpaceDN w:val="0"/>
              <w:spacing w:after="160" w:line="360" w:lineRule="auto"/>
              <w:jc w:val="center"/>
              <w:rPr>
                <w:rFonts w:ascii="微软雅黑" w:hAnsi="宋体"/>
                <w:highlight w:val="none"/>
              </w:rPr>
            </w:pPr>
            <w:r>
              <w:rPr>
                <w:rFonts w:ascii="微软雅黑" w:hAnsi="宋体"/>
                <w:highlight w:val="none"/>
              </w:rPr>
              <w:t>账号</w:t>
            </w:r>
          </w:p>
        </w:tc>
        <w:tc>
          <w:tcPr>
            <w:tcW w:w="2193" w:type="dxa"/>
            <w:gridSpan w:val="2"/>
            <w:noWrap w:val="0"/>
            <w:vAlign w:val="center"/>
          </w:tcPr>
          <w:p w14:paraId="4DAEDD57">
            <w:pPr>
              <w:autoSpaceDE w:val="0"/>
              <w:autoSpaceDN w:val="0"/>
              <w:spacing w:after="160" w:line="360" w:lineRule="auto"/>
              <w:jc w:val="center"/>
              <w:rPr>
                <w:rFonts w:ascii="微软雅黑" w:hAnsi="宋体"/>
                <w:highlight w:val="none"/>
              </w:rPr>
            </w:pPr>
          </w:p>
        </w:tc>
        <w:tc>
          <w:tcPr>
            <w:tcW w:w="1248" w:type="dxa"/>
            <w:vMerge w:val="continue"/>
            <w:noWrap w:val="0"/>
            <w:vAlign w:val="center"/>
          </w:tcPr>
          <w:p w14:paraId="107783B8">
            <w:pPr>
              <w:spacing w:line="360" w:lineRule="auto"/>
              <w:rPr>
                <w:highlight w:val="none"/>
              </w:rPr>
            </w:pPr>
          </w:p>
        </w:tc>
        <w:tc>
          <w:tcPr>
            <w:tcW w:w="1486" w:type="dxa"/>
            <w:gridSpan w:val="3"/>
            <w:noWrap w:val="0"/>
            <w:vAlign w:val="center"/>
          </w:tcPr>
          <w:p w14:paraId="13A5AEA3">
            <w:pPr>
              <w:autoSpaceDE w:val="0"/>
              <w:autoSpaceDN w:val="0"/>
              <w:spacing w:after="160" w:line="360" w:lineRule="auto"/>
              <w:jc w:val="center"/>
              <w:rPr>
                <w:rFonts w:ascii="微软雅黑" w:hAnsi="宋体"/>
                <w:highlight w:val="none"/>
              </w:rPr>
            </w:pPr>
            <w:r>
              <w:rPr>
                <w:rFonts w:ascii="微软雅黑" w:hAnsi="宋体"/>
                <w:highlight w:val="none"/>
              </w:rPr>
              <w:t>初级职称人员</w:t>
            </w:r>
          </w:p>
        </w:tc>
        <w:tc>
          <w:tcPr>
            <w:tcW w:w="2312" w:type="dxa"/>
            <w:gridSpan w:val="2"/>
            <w:noWrap w:val="0"/>
            <w:vAlign w:val="center"/>
          </w:tcPr>
          <w:p w14:paraId="722F4090">
            <w:pPr>
              <w:autoSpaceDE w:val="0"/>
              <w:autoSpaceDN w:val="0"/>
              <w:spacing w:after="160" w:line="360" w:lineRule="auto"/>
              <w:jc w:val="center"/>
              <w:rPr>
                <w:rFonts w:ascii="微软雅黑" w:hAnsi="宋体"/>
                <w:b/>
                <w:highlight w:val="none"/>
              </w:rPr>
            </w:pPr>
          </w:p>
        </w:tc>
      </w:tr>
      <w:tr w14:paraId="6377A6F2">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1834" w:type="dxa"/>
            <w:noWrap w:val="0"/>
            <w:vAlign w:val="center"/>
          </w:tcPr>
          <w:p w14:paraId="666AD9BF">
            <w:pPr>
              <w:autoSpaceDE w:val="0"/>
              <w:autoSpaceDN w:val="0"/>
              <w:spacing w:after="160" w:line="360" w:lineRule="auto"/>
              <w:jc w:val="center"/>
              <w:rPr>
                <w:rFonts w:ascii="微软雅黑" w:hAnsi="宋体"/>
                <w:highlight w:val="none"/>
              </w:rPr>
            </w:pPr>
            <w:r>
              <w:rPr>
                <w:rFonts w:ascii="微软雅黑" w:hAnsi="宋体"/>
                <w:highlight w:val="none"/>
              </w:rPr>
              <w:t>经营范围</w:t>
            </w:r>
          </w:p>
        </w:tc>
        <w:tc>
          <w:tcPr>
            <w:tcW w:w="7239" w:type="dxa"/>
            <w:gridSpan w:val="8"/>
            <w:noWrap w:val="0"/>
            <w:vAlign w:val="center"/>
          </w:tcPr>
          <w:p w14:paraId="07124CE0">
            <w:pPr>
              <w:autoSpaceDE w:val="0"/>
              <w:autoSpaceDN w:val="0"/>
              <w:spacing w:after="160" w:line="360" w:lineRule="auto"/>
              <w:rPr>
                <w:rFonts w:hint="eastAsia" w:ascii="微软雅黑" w:hAnsi="宋体"/>
                <w:b/>
                <w:highlight w:val="none"/>
              </w:rPr>
            </w:pPr>
          </w:p>
        </w:tc>
      </w:tr>
      <w:tr w14:paraId="7A668E35">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986" w:hRule="atLeast"/>
          <w:jc w:val="center"/>
        </w:trPr>
        <w:tc>
          <w:tcPr>
            <w:tcW w:w="1834" w:type="dxa"/>
            <w:noWrap w:val="0"/>
            <w:vAlign w:val="center"/>
          </w:tcPr>
          <w:p w14:paraId="0C2D4D4A">
            <w:pPr>
              <w:autoSpaceDE w:val="0"/>
              <w:autoSpaceDN w:val="0"/>
              <w:spacing w:after="160" w:line="360" w:lineRule="auto"/>
              <w:jc w:val="center"/>
              <w:rPr>
                <w:rFonts w:ascii="微软雅黑" w:hAnsi="宋体"/>
                <w:highlight w:val="none"/>
              </w:rPr>
            </w:pPr>
            <w:r>
              <w:rPr>
                <w:rFonts w:ascii="微软雅黑" w:hAnsi="宋体"/>
                <w:highlight w:val="none"/>
              </w:rPr>
              <w:t>备注</w:t>
            </w:r>
          </w:p>
        </w:tc>
        <w:tc>
          <w:tcPr>
            <w:tcW w:w="7239" w:type="dxa"/>
            <w:gridSpan w:val="8"/>
            <w:noWrap w:val="0"/>
            <w:vAlign w:val="center"/>
          </w:tcPr>
          <w:p w14:paraId="5680DBAA">
            <w:pPr>
              <w:autoSpaceDE w:val="0"/>
              <w:autoSpaceDN w:val="0"/>
              <w:spacing w:after="160" w:line="360" w:lineRule="auto"/>
              <w:jc w:val="left"/>
              <w:rPr>
                <w:rFonts w:ascii="微软雅黑" w:hAnsi="宋体"/>
                <w:highlight w:val="none"/>
              </w:rPr>
            </w:pPr>
          </w:p>
        </w:tc>
      </w:tr>
    </w:tbl>
    <w:p w14:paraId="7D59B8AA">
      <w:pPr>
        <w:spacing w:after="160" w:line="360" w:lineRule="auto"/>
        <w:ind w:firstLine="420"/>
        <w:jc w:val="left"/>
        <w:rPr>
          <w:rFonts w:ascii="微软雅黑" w:hAnsi="宋体"/>
          <w:sz w:val="24"/>
          <w:szCs w:val="24"/>
          <w:highlight w:val="none"/>
        </w:rPr>
      </w:pPr>
      <w:r>
        <w:rPr>
          <w:rFonts w:hint="eastAsia" w:ascii="微软雅黑" w:hAnsi="宋体"/>
          <w:sz w:val="24"/>
          <w:szCs w:val="24"/>
          <w:highlight w:val="none"/>
        </w:rPr>
        <w:t>供应商</w:t>
      </w:r>
      <w:r>
        <w:rPr>
          <w:rFonts w:ascii="微软雅黑" w:hAnsi="宋体"/>
          <w:sz w:val="24"/>
          <w:szCs w:val="24"/>
          <w:highlight w:val="none"/>
        </w:rPr>
        <w:t>名称：（盖章）</w:t>
      </w:r>
    </w:p>
    <w:p w14:paraId="112AA262">
      <w:pPr>
        <w:spacing w:after="160" w:line="360" w:lineRule="auto"/>
        <w:ind w:firstLine="420"/>
        <w:jc w:val="left"/>
        <w:rPr>
          <w:rFonts w:ascii="微软雅黑" w:hAnsi="宋体"/>
          <w:sz w:val="24"/>
          <w:szCs w:val="24"/>
          <w:highlight w:val="none"/>
        </w:rPr>
      </w:pPr>
      <w:r>
        <w:rPr>
          <w:rFonts w:ascii="微软雅黑" w:hAnsi="宋体"/>
          <w:sz w:val="24"/>
          <w:szCs w:val="24"/>
          <w:highlight w:val="none"/>
        </w:rPr>
        <w:t>法定代表人或授权代表（签字）：</w:t>
      </w:r>
    </w:p>
    <w:p w14:paraId="10487F73">
      <w:pPr>
        <w:spacing w:after="160" w:line="360" w:lineRule="auto"/>
        <w:ind w:firstLine="420"/>
        <w:jc w:val="left"/>
        <w:rPr>
          <w:rFonts w:ascii="微软雅黑" w:hAnsi="宋体"/>
          <w:sz w:val="24"/>
          <w:szCs w:val="24"/>
          <w:highlight w:val="none"/>
        </w:rPr>
        <w:sectPr>
          <w:pgSz w:w="11907" w:h="16840"/>
          <w:pgMar w:top="992" w:right="1363" w:bottom="1440" w:left="1304" w:header="851" w:footer="992" w:gutter="0"/>
          <w:pgNumType w:start="1"/>
          <w:cols w:space="720" w:num="1"/>
          <w:docGrid w:linePitch="312" w:charSpace="0"/>
        </w:sectPr>
      </w:pPr>
      <w:r>
        <w:rPr>
          <w:rFonts w:ascii="微软雅黑" w:hAnsi="宋体"/>
          <w:sz w:val="24"/>
          <w:szCs w:val="24"/>
          <w:highlight w:val="none"/>
        </w:rPr>
        <w:t>日期:</w:t>
      </w:r>
    </w:p>
    <w:p w14:paraId="70EAE7DD">
      <w:pPr>
        <w:pStyle w:val="6"/>
        <w:jc w:val="center"/>
        <w:rPr>
          <w:rFonts w:hint="eastAsia"/>
          <w:highlight w:val="none"/>
        </w:rPr>
      </w:pPr>
      <w:bookmarkStart w:id="743" w:name="_Toc10937"/>
      <w:bookmarkStart w:id="744" w:name="_Toc6299"/>
      <w:bookmarkStart w:id="745" w:name="_Toc15258"/>
      <w:bookmarkStart w:id="746" w:name="_Toc3195"/>
      <w:bookmarkStart w:id="747" w:name="_Toc20762"/>
      <w:bookmarkStart w:id="748" w:name="_Toc13201"/>
      <w:bookmarkStart w:id="749" w:name="_Toc6994"/>
      <w:bookmarkStart w:id="750" w:name="_Toc8186"/>
      <w:bookmarkStart w:id="751" w:name="_Toc8245"/>
      <w:bookmarkStart w:id="752" w:name="_Toc7060"/>
      <w:bookmarkStart w:id="753" w:name="_Toc24275"/>
      <w:bookmarkStart w:id="754" w:name="_Toc19035"/>
      <w:bookmarkStart w:id="755" w:name="_Toc4841"/>
      <w:r>
        <w:rPr>
          <w:rFonts w:hint="eastAsia"/>
          <w:highlight w:val="none"/>
        </w:rPr>
        <w:t>三、承诺函</w:t>
      </w:r>
      <w:bookmarkEnd w:id="743"/>
      <w:bookmarkEnd w:id="744"/>
      <w:bookmarkEnd w:id="745"/>
      <w:bookmarkEnd w:id="746"/>
      <w:bookmarkEnd w:id="747"/>
      <w:bookmarkEnd w:id="748"/>
      <w:bookmarkEnd w:id="749"/>
      <w:bookmarkEnd w:id="750"/>
      <w:bookmarkEnd w:id="751"/>
      <w:bookmarkEnd w:id="752"/>
      <w:bookmarkEnd w:id="753"/>
      <w:bookmarkEnd w:id="754"/>
      <w:bookmarkEnd w:id="755"/>
    </w:p>
    <w:p w14:paraId="7F8F048B">
      <w:pPr>
        <w:jc w:val="center"/>
        <w:rPr>
          <w:rFonts w:ascii="仿宋" w:hAnsi="仿宋" w:eastAsia="仿宋"/>
          <w:b/>
          <w:bCs/>
          <w:sz w:val="24"/>
          <w:szCs w:val="24"/>
          <w:highlight w:val="none"/>
        </w:rPr>
      </w:pPr>
    </w:p>
    <w:p w14:paraId="22087857">
      <w:pPr>
        <w:rPr>
          <w:rFonts w:hint="eastAsia" w:ascii="宋体" w:hAnsi="宋体"/>
          <w:sz w:val="24"/>
          <w:highlight w:val="none"/>
        </w:rPr>
      </w:pPr>
      <w:r>
        <w:rPr>
          <w:rFonts w:hint="eastAsia" w:ascii="宋体" w:hAnsi="宋体"/>
          <w:sz w:val="24"/>
          <w:highlight w:val="none"/>
        </w:rPr>
        <w:t>（采购人）：</w:t>
      </w:r>
    </w:p>
    <w:p w14:paraId="47304DA6">
      <w:pPr>
        <w:ind w:firstLine="480" w:firstLineChars="200"/>
        <w:rPr>
          <w:rFonts w:hint="eastAsia" w:ascii="宋体" w:hAnsi="宋体"/>
          <w:sz w:val="24"/>
          <w:highlight w:val="none"/>
        </w:rPr>
      </w:pPr>
      <w:r>
        <w:rPr>
          <w:rFonts w:hint="eastAsia" w:ascii="宋体" w:hAnsi="宋体"/>
          <w:sz w:val="24"/>
          <w:highlight w:val="none"/>
        </w:rPr>
        <w:t>我公司作为本次采购项目的供应商，根据磋商文件要求，现郑重承诺如下：</w:t>
      </w:r>
    </w:p>
    <w:p w14:paraId="1DC72324">
      <w:pPr>
        <w:ind w:firstLine="480" w:firstLineChars="200"/>
        <w:rPr>
          <w:rFonts w:hint="eastAsia" w:ascii="宋体" w:hAnsi="宋体"/>
          <w:sz w:val="24"/>
          <w:highlight w:val="none"/>
        </w:rPr>
      </w:pPr>
      <w:r>
        <w:rPr>
          <w:rFonts w:hint="eastAsia" w:ascii="宋体" w:hAnsi="宋体"/>
          <w:sz w:val="24"/>
          <w:highlight w:val="none"/>
        </w:rPr>
        <w:t>一、具备《中华人民共和国政府采购法》第二十二条第一款和本项目规定的条件：</w:t>
      </w:r>
    </w:p>
    <w:p w14:paraId="6BDD4750">
      <w:pPr>
        <w:ind w:firstLine="480" w:firstLineChars="200"/>
        <w:rPr>
          <w:rFonts w:hint="eastAsia" w:ascii="宋体" w:hAnsi="宋体"/>
          <w:sz w:val="24"/>
          <w:highlight w:val="none"/>
        </w:rPr>
      </w:pPr>
      <w:r>
        <w:rPr>
          <w:rFonts w:hint="eastAsia" w:ascii="宋体" w:hAnsi="宋体"/>
          <w:sz w:val="24"/>
          <w:highlight w:val="none"/>
        </w:rPr>
        <w:t>（一）具备独立的承担民事责任能力</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法人）</w:t>
      </w:r>
      <w:r>
        <w:rPr>
          <w:rFonts w:hint="eastAsia" w:ascii="宋体" w:hAnsi="宋体"/>
          <w:sz w:val="24"/>
          <w:highlight w:val="none"/>
        </w:rPr>
        <w:t>；</w:t>
      </w:r>
    </w:p>
    <w:p w14:paraId="345BD21E">
      <w:pPr>
        <w:ind w:firstLine="480" w:firstLineChars="200"/>
        <w:rPr>
          <w:rFonts w:hint="eastAsia" w:ascii="宋体" w:hAnsi="宋体"/>
          <w:sz w:val="24"/>
          <w:highlight w:val="none"/>
        </w:rPr>
      </w:pPr>
      <w:r>
        <w:rPr>
          <w:rFonts w:hint="eastAsia" w:ascii="宋体" w:hAnsi="宋体"/>
          <w:sz w:val="24"/>
          <w:highlight w:val="none"/>
        </w:rPr>
        <w:t>（二）具有良好的商业信誉和健全的财务会计制度；</w:t>
      </w:r>
    </w:p>
    <w:p w14:paraId="51851B17">
      <w:pPr>
        <w:ind w:firstLine="480" w:firstLineChars="200"/>
        <w:rPr>
          <w:rFonts w:hint="eastAsia" w:ascii="宋体" w:hAnsi="宋体"/>
          <w:sz w:val="24"/>
          <w:highlight w:val="none"/>
        </w:rPr>
      </w:pPr>
      <w:r>
        <w:rPr>
          <w:rFonts w:hint="eastAsia" w:ascii="宋体" w:hAnsi="宋体"/>
          <w:sz w:val="24"/>
          <w:highlight w:val="none"/>
        </w:rPr>
        <w:t>（三）具有履行合同所必需的设备和专业技术能力；</w:t>
      </w:r>
    </w:p>
    <w:p w14:paraId="21ED468D">
      <w:pPr>
        <w:ind w:firstLine="480" w:firstLineChars="200"/>
        <w:rPr>
          <w:rFonts w:hint="eastAsia" w:ascii="宋体" w:hAnsi="宋体"/>
          <w:sz w:val="24"/>
          <w:highlight w:val="none"/>
        </w:rPr>
      </w:pPr>
      <w:r>
        <w:rPr>
          <w:rFonts w:hint="eastAsia" w:ascii="宋体" w:hAnsi="宋体"/>
          <w:sz w:val="24"/>
          <w:highlight w:val="none"/>
        </w:rPr>
        <w:t>（四）有依法缴纳税收和社会保障资金的良好记录；</w:t>
      </w:r>
    </w:p>
    <w:p w14:paraId="11F8474F">
      <w:pPr>
        <w:ind w:firstLine="480" w:firstLineChars="200"/>
        <w:rPr>
          <w:rFonts w:hint="eastAsia" w:ascii="宋体" w:hAnsi="宋体"/>
          <w:sz w:val="24"/>
          <w:highlight w:val="none"/>
        </w:rPr>
      </w:pPr>
      <w:r>
        <w:rPr>
          <w:rFonts w:hint="eastAsia" w:ascii="宋体" w:hAnsi="宋体"/>
          <w:sz w:val="24"/>
          <w:highlight w:val="none"/>
        </w:rPr>
        <w:t>（五）参加采购活动前三年内，在经营活动中没有重大违法记录；</w:t>
      </w:r>
    </w:p>
    <w:p w14:paraId="18B0CD87">
      <w:pPr>
        <w:ind w:firstLine="480" w:firstLineChars="200"/>
        <w:rPr>
          <w:rFonts w:hint="eastAsia" w:ascii="宋体" w:hAnsi="宋体"/>
          <w:sz w:val="24"/>
          <w:highlight w:val="none"/>
        </w:rPr>
      </w:pPr>
      <w:r>
        <w:rPr>
          <w:rFonts w:hint="eastAsia" w:ascii="宋体" w:hAnsi="宋体"/>
          <w:sz w:val="24"/>
          <w:highlight w:val="none"/>
        </w:rPr>
        <w:t>（六）法律、行政法规规定的其他条件；</w:t>
      </w:r>
    </w:p>
    <w:p w14:paraId="5EBF226B">
      <w:pPr>
        <w:ind w:firstLine="480" w:firstLineChars="200"/>
        <w:rPr>
          <w:rFonts w:hint="eastAsia" w:ascii="宋体" w:hAnsi="宋体"/>
          <w:sz w:val="24"/>
          <w:highlight w:val="none"/>
        </w:rPr>
      </w:pPr>
      <w:r>
        <w:rPr>
          <w:rFonts w:hint="eastAsia" w:ascii="宋体" w:hAnsi="宋体"/>
          <w:sz w:val="24"/>
          <w:highlight w:val="none"/>
        </w:rPr>
        <w:t>（七）根据采购项目提出的特殊条件：</w:t>
      </w:r>
    </w:p>
    <w:p w14:paraId="08BD8D0E">
      <w:pPr>
        <w:ind w:firstLine="480" w:firstLineChars="200"/>
        <w:rPr>
          <w:rFonts w:hint="eastAsia" w:ascii="宋体" w:hAnsi="宋体" w:eastAsia="宋体" w:cs="宋体"/>
          <w:sz w:val="24"/>
          <w:szCs w:val="24"/>
          <w:highlight w:val="none"/>
          <w:shd w:val="clear" w:color="auto" w:fill="FFFFFF"/>
          <w:lang w:val="en-US" w:eastAsia="zh-CN" w:bidi="ar"/>
        </w:rPr>
      </w:pPr>
      <w:r>
        <w:rPr>
          <w:rFonts w:hint="eastAsia" w:ascii="宋体" w:hAnsi="宋体" w:eastAsia="宋体" w:cs="宋体"/>
          <w:sz w:val="24"/>
          <w:szCs w:val="24"/>
          <w:highlight w:val="none"/>
          <w:shd w:val="clear" w:color="auto" w:fill="FFFFFF"/>
          <w:lang w:val="en-US" w:eastAsia="zh-CN" w:bidi="ar"/>
        </w:rPr>
        <w:t xml:space="preserve">1. 具有司法行政机关核发的的《律师事务所执业许可证》，并在有效期内且年度检查考核合格。 </w:t>
      </w:r>
    </w:p>
    <w:p w14:paraId="6B24FD6E">
      <w:pPr>
        <w:ind w:firstLine="480" w:firstLineChars="200"/>
        <w:rPr>
          <w:rFonts w:hint="eastAsia" w:ascii="宋体" w:hAnsi="宋体" w:eastAsia="宋体" w:cs="宋体"/>
          <w:sz w:val="24"/>
          <w:szCs w:val="24"/>
          <w:highlight w:val="none"/>
          <w:shd w:val="clear" w:color="auto" w:fill="FFFFFF"/>
          <w:lang w:val="en-US" w:eastAsia="zh-CN" w:bidi="ar"/>
        </w:rPr>
      </w:pPr>
      <w:r>
        <w:rPr>
          <w:rFonts w:hint="eastAsia" w:ascii="宋体" w:hAnsi="宋体" w:eastAsia="宋体" w:cs="宋体"/>
          <w:sz w:val="24"/>
          <w:szCs w:val="24"/>
          <w:highlight w:val="none"/>
          <w:shd w:val="clear" w:color="auto" w:fill="FFFFFF"/>
          <w:lang w:val="en-US" w:eastAsia="zh-CN" w:bidi="ar"/>
        </w:rPr>
        <w:t>2.</w:t>
      </w:r>
      <w:r>
        <w:rPr>
          <w:rFonts w:hint="eastAsia" w:hAnsi="宋体" w:cs="宋体"/>
          <w:bCs/>
          <w:color w:val="000000" w:themeColor="text1"/>
          <w:sz w:val="24"/>
          <w:lang w:val="en-US" w:eastAsia="zh-CN"/>
          <w14:textFill>
            <w14:solidFill>
              <w14:schemeClr w14:val="tx1"/>
            </w14:solidFill>
          </w14:textFill>
        </w:rPr>
        <w:t>主办律师1人，需具备5年以上执业经验；拟投入本项目的其他律师2人及以上，需具备3年以上执业经验。（执业经验年限以执业证号中正式执业的年份起算）</w:t>
      </w:r>
    </w:p>
    <w:p w14:paraId="747772EC">
      <w:pPr>
        <w:pStyle w:val="2"/>
        <w:ind w:firstLine="480" w:firstLineChars="200"/>
        <w:rPr>
          <w:rFonts w:hint="eastAsia" w:ascii="宋体" w:hAnsi="宋体"/>
          <w:sz w:val="24"/>
          <w:highlight w:val="none"/>
        </w:rPr>
      </w:pPr>
      <w:r>
        <w:rPr>
          <w:rFonts w:hint="eastAsia" w:ascii="宋体" w:hAnsi="宋体"/>
          <w:sz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5A4FC43F">
      <w:pPr>
        <w:ind w:firstLine="480" w:firstLineChars="200"/>
        <w:rPr>
          <w:rFonts w:hint="eastAsia" w:ascii="宋体" w:hAnsi="宋体"/>
          <w:sz w:val="24"/>
          <w:highlight w:val="none"/>
        </w:rPr>
      </w:pPr>
      <w:r>
        <w:rPr>
          <w:rFonts w:hint="eastAsia" w:ascii="宋体" w:hAnsi="宋体"/>
          <w:sz w:val="24"/>
          <w:highlight w:val="none"/>
        </w:rPr>
        <w:t>三、在参加本次采购活动中，不存在与单位负责人为同一人或者存在直接控股、管理关系的其他供应商参与同一合同项下的采购活动的行为。</w:t>
      </w:r>
    </w:p>
    <w:p w14:paraId="5652085B">
      <w:pPr>
        <w:ind w:firstLine="480" w:firstLineChars="200"/>
        <w:rPr>
          <w:rFonts w:hint="eastAsia" w:ascii="宋体" w:hAnsi="宋体"/>
          <w:sz w:val="24"/>
          <w:highlight w:val="none"/>
        </w:rPr>
      </w:pPr>
      <w:r>
        <w:rPr>
          <w:rFonts w:hint="eastAsia" w:ascii="宋体" w:hAnsi="宋体"/>
          <w:sz w:val="24"/>
          <w:highlight w:val="none"/>
        </w:rPr>
        <w:t>四、在参加本次采购活动中，不存在和其他供应商在同一合同项下的采购项目中，同时委托同一个自然人、同一家庭的人员、同一单位的人员作为代理人的行为。</w:t>
      </w:r>
    </w:p>
    <w:p w14:paraId="457E2E27">
      <w:pPr>
        <w:ind w:firstLine="480" w:firstLineChars="200"/>
        <w:rPr>
          <w:rFonts w:hint="eastAsia" w:ascii="宋体" w:hAnsi="宋体"/>
          <w:sz w:val="24"/>
          <w:highlight w:val="none"/>
        </w:rPr>
      </w:pPr>
      <w:r>
        <w:rPr>
          <w:rFonts w:hint="eastAsia" w:ascii="宋体" w:hAnsi="宋体"/>
          <w:sz w:val="24"/>
          <w:highlight w:val="none"/>
        </w:rPr>
        <w:t>五、如果有《四川省政府采购当事人诚信管理办法》（川财采[2015]33号）规定的记入诚信档案的失信行为，将在响应文件中全面如实反映。</w:t>
      </w:r>
    </w:p>
    <w:p w14:paraId="43EF1673">
      <w:pPr>
        <w:ind w:firstLine="480" w:firstLineChars="200"/>
        <w:rPr>
          <w:rFonts w:hint="eastAsia" w:ascii="宋体" w:hAnsi="宋体"/>
          <w:sz w:val="24"/>
          <w:highlight w:val="none"/>
        </w:rPr>
      </w:pPr>
      <w:r>
        <w:rPr>
          <w:rFonts w:hint="eastAsia" w:ascii="宋体" w:hAnsi="宋体"/>
          <w:sz w:val="24"/>
          <w:highlight w:val="none"/>
        </w:rPr>
        <w:t>六、响应文件中提供的任何资料和技术、服务、商务等响应承诺情况都是真实的、有效的、合法的。</w:t>
      </w:r>
    </w:p>
    <w:p w14:paraId="2799F5EF">
      <w:pPr>
        <w:ind w:firstLine="480" w:firstLineChars="200"/>
        <w:rPr>
          <w:rFonts w:hint="eastAsia" w:ascii="宋体" w:hAnsi="宋体"/>
          <w:sz w:val="24"/>
          <w:highlight w:val="none"/>
        </w:rPr>
      </w:pPr>
      <w:r>
        <w:rPr>
          <w:rFonts w:hint="eastAsia" w:ascii="宋体" w:hAnsi="宋体"/>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73F90C5A">
      <w:pPr>
        <w:ind w:firstLine="480" w:firstLineChars="200"/>
        <w:rPr>
          <w:rFonts w:hint="eastAsia" w:ascii="宋体" w:hAnsi="宋体"/>
          <w:sz w:val="24"/>
          <w:highlight w:val="none"/>
        </w:rPr>
      </w:pPr>
      <w:r>
        <w:rPr>
          <w:rFonts w:hint="eastAsia" w:ascii="宋体" w:hAnsi="宋体"/>
          <w:sz w:val="24"/>
          <w:highlight w:val="none"/>
        </w:rPr>
        <w:t>本公司对上述承诺的内容事项真实性负责。如经查实上述承诺的内容事项存在虚假，我公司愿意接受以提供虚假材料谋取成交的法律责任。</w:t>
      </w:r>
    </w:p>
    <w:p w14:paraId="72568A4B">
      <w:pPr>
        <w:spacing w:line="360" w:lineRule="auto"/>
        <w:ind w:firstLine="480" w:firstLineChars="200"/>
        <w:rPr>
          <w:rFonts w:hint="eastAsia" w:ascii="宋体" w:hAnsi="宋体"/>
          <w:sz w:val="24"/>
          <w:highlight w:val="none"/>
        </w:rPr>
      </w:pPr>
    </w:p>
    <w:p w14:paraId="63A14045">
      <w:pPr>
        <w:spacing w:line="360" w:lineRule="auto"/>
        <w:rPr>
          <w:rFonts w:hint="eastAsia" w:ascii="宋体" w:hAnsi="宋体"/>
          <w:sz w:val="24"/>
          <w:highlight w:val="none"/>
        </w:rPr>
      </w:pPr>
    </w:p>
    <w:p w14:paraId="0C70E524">
      <w:pPr>
        <w:spacing w:line="360" w:lineRule="auto"/>
        <w:ind w:firstLine="480" w:firstLineChars="200"/>
        <w:rPr>
          <w:rFonts w:hint="eastAsia" w:ascii="宋体" w:hAnsi="宋体"/>
          <w:sz w:val="24"/>
          <w:highlight w:val="none"/>
        </w:rPr>
      </w:pPr>
      <w:r>
        <w:rPr>
          <w:rFonts w:hint="eastAsia" w:ascii="宋体" w:hAnsi="宋体"/>
          <w:sz w:val="24"/>
          <w:highlight w:val="none"/>
        </w:rPr>
        <w:t>供应商名称：XXXX（盖章）</w:t>
      </w:r>
    </w:p>
    <w:p w14:paraId="6A1D428D">
      <w:pPr>
        <w:spacing w:line="360" w:lineRule="auto"/>
        <w:ind w:firstLine="480" w:firstLineChars="200"/>
        <w:rPr>
          <w:rFonts w:hint="eastAsia" w:ascii="宋体" w:hAnsi="宋体"/>
          <w:sz w:val="24"/>
          <w:highlight w:val="none"/>
        </w:rPr>
      </w:pPr>
      <w:r>
        <w:rPr>
          <w:rFonts w:hint="eastAsia" w:ascii="宋体" w:hAnsi="宋体"/>
          <w:sz w:val="24"/>
          <w:highlight w:val="none"/>
        </w:rPr>
        <w:t>法定代表人签字或者加盖个人私章：XXXX</w:t>
      </w:r>
    </w:p>
    <w:p w14:paraId="1267FCEC">
      <w:pPr>
        <w:spacing w:line="360" w:lineRule="auto"/>
        <w:ind w:firstLine="480" w:firstLineChars="200"/>
        <w:rPr>
          <w:rFonts w:hint="eastAsia" w:ascii="宋体" w:hAnsi="宋体"/>
          <w:sz w:val="24"/>
          <w:highlight w:val="none"/>
        </w:rPr>
        <w:sectPr>
          <w:pgSz w:w="11907" w:h="16840"/>
          <w:pgMar w:top="992" w:right="1363" w:bottom="1440" w:left="1304" w:header="851" w:footer="992" w:gutter="0"/>
          <w:pgNumType w:start="1"/>
          <w:cols w:space="720" w:num="1"/>
          <w:docGrid w:linePitch="312" w:charSpace="0"/>
        </w:sectPr>
      </w:pPr>
      <w:r>
        <w:rPr>
          <w:rFonts w:hint="eastAsia" w:ascii="宋体" w:hAnsi="宋体"/>
          <w:sz w:val="24"/>
          <w:highlight w:val="none"/>
        </w:rPr>
        <w:t>授权代表签字：XXXX</w:t>
      </w:r>
    </w:p>
    <w:bookmarkEnd w:id="740"/>
    <w:bookmarkEnd w:id="741"/>
    <w:bookmarkEnd w:id="742"/>
    <w:p w14:paraId="06447E89">
      <w:pPr>
        <w:pStyle w:val="6"/>
        <w:jc w:val="center"/>
        <w:rPr>
          <w:highlight w:val="none"/>
        </w:rPr>
      </w:pPr>
      <w:bookmarkStart w:id="756" w:name="_Toc25573"/>
      <w:r>
        <w:rPr>
          <w:rFonts w:hint="eastAsia" w:ascii="Arial" w:hAnsi="Arial" w:eastAsia="黑体"/>
          <w:b/>
          <w:sz w:val="32"/>
          <w:szCs w:val="32"/>
          <w:highlight w:val="none"/>
        </w:rPr>
        <w:t>四、报价函</w:t>
      </w:r>
      <w:bookmarkEnd w:id="756"/>
    </w:p>
    <w:p w14:paraId="54F61770">
      <w:pPr>
        <w:pStyle w:val="11"/>
        <w:spacing w:line="360" w:lineRule="auto"/>
        <w:ind w:left="0" w:leftChars="0" w:firstLine="0" w:firstLineChars="0"/>
        <w:rPr>
          <w:rFonts w:ascii="宋体" w:hAnsi="宋体" w:cs="宋体"/>
          <w:sz w:val="24"/>
          <w:szCs w:val="24"/>
          <w:highlight w:val="none"/>
        </w:rPr>
      </w:pPr>
      <w:r>
        <w:rPr>
          <w:rFonts w:hint="eastAsia" w:ascii="宋体" w:hAnsi="宋体" w:cs="宋体"/>
          <w:sz w:val="24"/>
          <w:szCs w:val="24"/>
          <w:highlight w:val="none"/>
        </w:rPr>
        <w:t>（采购人）：</w:t>
      </w:r>
    </w:p>
    <w:p w14:paraId="60ABE263">
      <w:pPr>
        <w:pStyle w:val="11"/>
        <w:spacing w:line="360" w:lineRule="auto"/>
        <w:ind w:left="0" w:firstLine="480"/>
        <w:rPr>
          <w:rFonts w:hint="eastAsia" w:ascii="宋体" w:hAnsi="宋体" w:cs="宋体"/>
          <w:sz w:val="24"/>
          <w:szCs w:val="24"/>
          <w:highlight w:val="none"/>
        </w:rPr>
      </w:pPr>
      <w:r>
        <w:rPr>
          <w:rFonts w:hint="eastAsia" w:ascii="宋体" w:hAnsi="宋体" w:cs="宋体"/>
          <w:sz w:val="24"/>
          <w:szCs w:val="24"/>
          <w:highlight w:val="none"/>
        </w:rPr>
        <w:t>我方全面研究了“</w:t>
      </w:r>
      <w:r>
        <w:rPr>
          <w:rFonts w:hint="eastAsia"/>
          <w:bCs/>
          <w:sz w:val="24"/>
          <w:u w:val="single"/>
          <w:lang w:eastAsia="zh-CN"/>
        </w:rPr>
        <w:t>202</w:t>
      </w:r>
      <w:r>
        <w:rPr>
          <w:rFonts w:hint="eastAsia"/>
          <w:bCs/>
          <w:sz w:val="24"/>
          <w:u w:val="single"/>
          <w:lang w:val="en-US" w:eastAsia="zh-CN"/>
        </w:rPr>
        <w:t>6</w:t>
      </w:r>
      <w:r>
        <w:rPr>
          <w:rFonts w:hint="eastAsia"/>
          <w:bCs/>
          <w:sz w:val="24"/>
          <w:u w:val="single"/>
          <w:lang w:eastAsia="zh-CN"/>
        </w:rPr>
        <w:t>年法律服务采购（</w:t>
      </w:r>
      <w:r>
        <w:rPr>
          <w:rFonts w:hint="eastAsia"/>
          <w:bCs/>
          <w:sz w:val="24"/>
          <w:u w:val="single"/>
          <w:lang w:val="en-US" w:eastAsia="zh-CN"/>
        </w:rPr>
        <w:t>第二次</w:t>
      </w:r>
      <w:r>
        <w:rPr>
          <w:rFonts w:hint="eastAsia"/>
          <w:bCs/>
          <w:sz w:val="24"/>
          <w:u w:val="single"/>
          <w:lang w:eastAsia="zh-CN"/>
        </w:rPr>
        <w:t>）</w:t>
      </w:r>
      <w:r>
        <w:rPr>
          <w:rFonts w:hint="eastAsia" w:ascii="宋体" w:hAnsi="宋体" w:cs="宋体"/>
          <w:sz w:val="24"/>
          <w:szCs w:val="24"/>
          <w:highlight w:val="none"/>
        </w:rPr>
        <w:t>”项目采购文件（采购编号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YYCG[2025]022-1号</w:t>
      </w:r>
      <w:r>
        <w:rPr>
          <w:rFonts w:hint="eastAsia" w:ascii="宋体" w:hAnsi="宋体" w:cs="宋体"/>
          <w:sz w:val="24"/>
          <w:szCs w:val="24"/>
          <w:highlight w:val="none"/>
        </w:rPr>
        <w:t>），决定参加贵单位组织的本项目磋商。我方授权</w:t>
      </w:r>
      <w:r>
        <w:rPr>
          <w:rFonts w:hint="eastAsia" w:ascii="宋体" w:hAnsi="宋体" w:cs="宋体"/>
          <w:sz w:val="24"/>
          <w:szCs w:val="24"/>
          <w:highlight w:val="none"/>
          <w:u w:val="single"/>
        </w:rPr>
        <w:t>（姓名、职务）</w:t>
      </w:r>
      <w:r>
        <w:rPr>
          <w:rFonts w:hint="eastAsia" w:ascii="宋体" w:hAnsi="宋体" w:cs="宋体"/>
          <w:sz w:val="24"/>
          <w:szCs w:val="24"/>
          <w:highlight w:val="none"/>
        </w:rPr>
        <w:t>代表我方</w:t>
      </w:r>
      <w:r>
        <w:rPr>
          <w:rFonts w:hint="eastAsia" w:ascii="宋体" w:hAnsi="宋体" w:cs="宋体"/>
          <w:sz w:val="24"/>
          <w:szCs w:val="24"/>
          <w:highlight w:val="none"/>
          <w:u w:val="single"/>
        </w:rPr>
        <w:t>（磋商单位的名称）</w:t>
      </w:r>
      <w:r>
        <w:rPr>
          <w:rFonts w:hint="eastAsia" w:ascii="宋体" w:hAnsi="宋体" w:cs="宋体"/>
          <w:sz w:val="24"/>
          <w:szCs w:val="24"/>
          <w:highlight w:val="none"/>
        </w:rPr>
        <w:t>全权处理本项目磋商的有关事宜。</w:t>
      </w:r>
    </w:p>
    <w:p w14:paraId="37317637">
      <w:pPr>
        <w:pStyle w:val="11"/>
        <w:spacing w:line="360" w:lineRule="auto"/>
        <w:ind w:left="0"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rPr>
        <w:t>1、我方自愿按照采购文件规定的各项要求向采购人提供所需服务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其中：</w:t>
      </w:r>
    </w:p>
    <w:p w14:paraId="0954B420">
      <w:pPr>
        <w:pStyle w:val="11"/>
        <w:spacing w:line="360" w:lineRule="auto"/>
        <w:ind w:left="0" w:firstLine="480" w:firstLineChars="200"/>
        <w:rPr>
          <w:rFonts w:hint="default" w:ascii="宋体" w:hAnsi="宋体" w:cs="宋体"/>
          <w:sz w:val="24"/>
          <w:szCs w:val="24"/>
          <w:highlight w:val="none"/>
          <w:u w:val="single"/>
          <w:lang w:val="en-US" w:eastAsia="zh-CN"/>
        </w:rPr>
      </w:pPr>
      <w:r>
        <w:rPr>
          <w:rFonts w:hint="eastAsia" w:ascii="宋体" w:hAnsi="宋体" w:cs="宋体"/>
          <w:sz w:val="24"/>
          <w:szCs w:val="24"/>
          <w:highlight w:val="none"/>
          <w:lang w:val="en-US" w:eastAsia="zh-CN"/>
        </w:rPr>
        <w:t>常年法律顾问费：</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元，大写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；诉讼案件代理费：最高限价下浮</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3CEDF40F">
      <w:pPr>
        <w:pStyle w:val="11"/>
        <w:spacing w:line="360" w:lineRule="auto"/>
        <w:ind w:leftChars="200"/>
        <w:rPr>
          <w:rFonts w:hint="eastAsia" w:ascii="宋体" w:hAnsi="宋体" w:cs="宋体"/>
          <w:sz w:val="24"/>
          <w:szCs w:val="24"/>
          <w:highlight w:val="none"/>
        </w:rPr>
      </w:pPr>
      <w:r>
        <w:rPr>
          <w:rFonts w:hint="eastAsia" w:ascii="宋体" w:hAnsi="宋体" w:cs="宋体"/>
          <w:sz w:val="24"/>
          <w:szCs w:val="24"/>
          <w:highlight w:val="none"/>
        </w:rPr>
        <w:t>2.一旦我方成交，我方将严格履行合同规定的责任和义务。</w:t>
      </w:r>
    </w:p>
    <w:p w14:paraId="21D66ADD">
      <w:pPr>
        <w:pStyle w:val="11"/>
        <w:spacing w:line="360" w:lineRule="auto"/>
        <w:ind w:leftChars="200"/>
        <w:rPr>
          <w:rFonts w:hint="eastAsia" w:ascii="宋体" w:hAnsi="宋体" w:cs="宋体"/>
          <w:sz w:val="24"/>
          <w:szCs w:val="24"/>
          <w:highlight w:val="none"/>
        </w:rPr>
      </w:pPr>
      <w:r>
        <w:rPr>
          <w:rFonts w:hint="eastAsia" w:ascii="宋体" w:hAnsi="宋体" w:cs="宋体"/>
          <w:sz w:val="24"/>
          <w:szCs w:val="24"/>
          <w:highlight w:val="none"/>
        </w:rPr>
        <w:t>3.服务期：</w:t>
      </w:r>
      <w:r>
        <w:rPr>
          <w:rFonts w:hint="eastAsia" w:ascii="宋体" w:hAnsi="宋体" w:cs="宋体"/>
          <w:color w:val="auto"/>
          <w:sz w:val="24"/>
          <w:szCs w:val="24"/>
          <w:highlight w:val="none"/>
          <w:u w:val="single"/>
          <w:lang w:val="en-US" w:eastAsia="zh-CN"/>
        </w:rPr>
        <w:t>签订合同后1年</w:t>
      </w:r>
      <w:r>
        <w:rPr>
          <w:rFonts w:hint="eastAsia" w:ascii="宋体" w:hAnsi="宋体" w:cs="宋体"/>
          <w:sz w:val="24"/>
          <w:szCs w:val="24"/>
          <w:highlight w:val="none"/>
        </w:rPr>
        <w:t>。</w:t>
      </w:r>
    </w:p>
    <w:p w14:paraId="0BE706FB">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4.我方同意按照采购文件的要求，向贵单位交纳人民币</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）的</w:t>
      </w:r>
      <w:r>
        <w:rPr>
          <w:rFonts w:hint="eastAsia" w:ascii="宋体" w:hAnsi="宋体" w:eastAsia="宋体" w:cs="宋体"/>
          <w:sz w:val="24"/>
          <w:szCs w:val="24"/>
          <w:highlight w:val="none"/>
        </w:rPr>
        <w:t>履约保证金</w:t>
      </w:r>
      <w:r>
        <w:rPr>
          <w:rFonts w:hint="eastAsia" w:ascii="宋体" w:hAnsi="宋体" w:cs="宋体"/>
          <w:sz w:val="24"/>
          <w:szCs w:val="24"/>
          <w:highlight w:val="none"/>
        </w:rPr>
        <w:t>。并承诺：下列任何情况发生时，我方将不要求退还</w:t>
      </w:r>
      <w:r>
        <w:rPr>
          <w:rFonts w:hint="eastAsia" w:ascii="宋体" w:hAnsi="宋体" w:eastAsia="宋体" w:cs="宋体"/>
          <w:sz w:val="24"/>
          <w:szCs w:val="24"/>
          <w:highlight w:val="none"/>
        </w:rPr>
        <w:t>履约</w:t>
      </w:r>
      <w:r>
        <w:rPr>
          <w:rFonts w:hint="eastAsia" w:ascii="宋体" w:hAnsi="宋体" w:eastAsia="宋体" w:cs="宋体"/>
          <w:sz w:val="24"/>
          <w:szCs w:val="24"/>
          <w:highlight w:val="none"/>
          <w:lang w:eastAsia="zh-CN"/>
        </w:rPr>
        <w:t>保证金</w:t>
      </w:r>
      <w:r>
        <w:rPr>
          <w:rFonts w:hint="eastAsia" w:ascii="宋体" w:hAnsi="宋体" w:cs="宋体"/>
          <w:sz w:val="24"/>
          <w:szCs w:val="24"/>
          <w:highlight w:val="none"/>
        </w:rPr>
        <w:t>：</w:t>
      </w:r>
    </w:p>
    <w:p w14:paraId="1900971D">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（1）如果我方在磋商有效期内撤回磋商；</w:t>
      </w:r>
    </w:p>
    <w:p w14:paraId="022E45D2">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（2）我方提供了虚假响应采购文件的响应文件；</w:t>
      </w:r>
    </w:p>
    <w:p w14:paraId="7E298CD1">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（3）在磋商过程中有违规违纪行为；</w:t>
      </w:r>
    </w:p>
    <w:p w14:paraId="4197C5C3">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（4）我方在收到成交通知书后，由于我方原因未能按照采购文件要求与采购人签订并履行合同。</w:t>
      </w:r>
    </w:p>
    <w:p w14:paraId="5012E760">
      <w:pPr>
        <w:pStyle w:val="11"/>
        <w:spacing w:line="360" w:lineRule="auto"/>
        <w:ind w:left="0" w:firstLine="480"/>
        <w:rPr>
          <w:rFonts w:hint="eastAsia" w:ascii="宋体" w:hAnsi="宋体" w:cs="宋体"/>
          <w:sz w:val="24"/>
          <w:szCs w:val="24"/>
          <w:highlight w:val="none"/>
        </w:rPr>
      </w:pPr>
      <w:r>
        <w:rPr>
          <w:rFonts w:hint="eastAsia" w:ascii="宋体" w:hAnsi="宋体" w:cs="宋体"/>
          <w:sz w:val="24"/>
          <w:szCs w:val="24"/>
          <w:highlight w:val="none"/>
        </w:rPr>
        <w:t>5.我方为本项目提交的全部响应文件：正本</w:t>
      </w:r>
      <w:r>
        <w:rPr>
          <w:rFonts w:hint="eastAsia" w:ascii="宋体" w:hAnsi="宋体" w:cs="宋体"/>
          <w:sz w:val="24"/>
          <w:szCs w:val="24"/>
          <w:highlight w:val="none"/>
          <w:lang w:val="en-US" w:eastAsia="zh-CN"/>
        </w:rPr>
        <w:t>1</w:t>
      </w:r>
      <w:r>
        <w:rPr>
          <w:rFonts w:hint="eastAsia" w:ascii="宋体" w:hAnsi="宋体" w:cs="宋体"/>
          <w:sz w:val="24"/>
          <w:szCs w:val="24"/>
          <w:highlight w:val="none"/>
        </w:rPr>
        <w:t>份、副本</w:t>
      </w:r>
      <w:r>
        <w:rPr>
          <w:rFonts w:hint="eastAsia" w:ascii="宋体" w:hAnsi="宋体" w:cs="宋体"/>
          <w:sz w:val="24"/>
          <w:szCs w:val="24"/>
          <w:highlight w:val="none"/>
          <w:lang w:val="en-US" w:eastAsia="zh-CN"/>
        </w:rPr>
        <w:t>2</w:t>
      </w:r>
      <w:r>
        <w:rPr>
          <w:rFonts w:hint="eastAsia" w:ascii="宋体" w:hAnsi="宋体" w:cs="宋体"/>
          <w:sz w:val="24"/>
          <w:szCs w:val="24"/>
          <w:highlight w:val="none"/>
        </w:rPr>
        <w:t>份，</w:t>
      </w:r>
      <w:r>
        <w:rPr>
          <w:rFonts w:hint="eastAsia" w:hAnsi="宋体"/>
          <w:sz w:val="24"/>
          <w:szCs w:val="24"/>
          <w:highlight w:val="none"/>
        </w:rPr>
        <w:t>用于磋商报价。</w:t>
      </w:r>
    </w:p>
    <w:p w14:paraId="0EC53EE7">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6.我方愿意提供贵单位可能另外要求的，与磋商有关的文件资料，并保证我方已提供和将要提供的文件资料是真实、准确的。</w:t>
      </w:r>
    </w:p>
    <w:p w14:paraId="21B19040">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7.我方完全理解采购人不一定将合同授予最低报价的申请人的行为。</w:t>
      </w:r>
    </w:p>
    <w:p w14:paraId="29DDFD20">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8.我方同意所提交的响应文件在磋商文件有效期</w:t>
      </w:r>
      <w:r>
        <w:rPr>
          <w:rFonts w:hint="eastAsia" w:ascii="宋体" w:hAnsi="宋体" w:cs="宋体"/>
          <w:sz w:val="24"/>
          <w:szCs w:val="24"/>
          <w:highlight w:val="none"/>
          <w:u w:val="single"/>
        </w:rPr>
        <w:t>90</w:t>
      </w:r>
      <w:r>
        <w:rPr>
          <w:rFonts w:hint="eastAsia" w:ascii="宋体" w:hAnsi="宋体" w:cs="宋体"/>
          <w:sz w:val="24"/>
          <w:szCs w:val="24"/>
          <w:highlight w:val="none"/>
        </w:rPr>
        <w:t>天内有效，在此期间内如果成交，我方将受此约束。</w:t>
      </w:r>
    </w:p>
    <w:p w14:paraId="78B81201">
      <w:pPr>
        <w:pStyle w:val="11"/>
        <w:spacing w:line="360" w:lineRule="auto"/>
        <w:ind w:left="0" w:firstLine="480" w:firstLineChars="200"/>
        <w:rPr>
          <w:rFonts w:ascii="宋体" w:hAnsi="宋体" w:cs="宋体"/>
          <w:sz w:val="24"/>
          <w:szCs w:val="24"/>
          <w:highlight w:val="none"/>
        </w:rPr>
      </w:pPr>
      <w:r>
        <w:rPr>
          <w:rFonts w:hint="eastAsia" w:ascii="宋体" w:hAnsi="宋体" w:cs="宋体"/>
          <w:sz w:val="24"/>
          <w:szCs w:val="24"/>
          <w:highlight w:val="none"/>
        </w:rPr>
        <w:t>供应商名称：（盖章）</w:t>
      </w:r>
    </w:p>
    <w:p w14:paraId="3D97B9E6">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法定代表人或授权代表（签字）：</w:t>
      </w:r>
    </w:p>
    <w:p w14:paraId="67C68632">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通讯地址：</w:t>
      </w:r>
    </w:p>
    <w:p w14:paraId="44634E74">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邮政编码：</w:t>
      </w:r>
    </w:p>
    <w:p w14:paraId="5ABA4246">
      <w:pPr>
        <w:pStyle w:val="11"/>
        <w:spacing w:line="360" w:lineRule="auto"/>
        <w:ind w:left="0" w:firstLine="480"/>
        <w:rPr>
          <w:rFonts w:ascii="宋体" w:hAnsi="宋体" w:cs="宋体"/>
          <w:sz w:val="24"/>
          <w:szCs w:val="24"/>
          <w:highlight w:val="none"/>
        </w:rPr>
      </w:pPr>
      <w:r>
        <w:rPr>
          <w:rFonts w:hint="eastAsia" w:ascii="宋体" w:hAnsi="宋体" w:cs="宋体"/>
          <w:sz w:val="24"/>
          <w:szCs w:val="24"/>
          <w:highlight w:val="none"/>
        </w:rPr>
        <w:t>联系电话：</w:t>
      </w:r>
    </w:p>
    <w:p w14:paraId="12C984D8">
      <w:pPr>
        <w:pStyle w:val="11"/>
        <w:spacing w:line="360" w:lineRule="auto"/>
        <w:ind w:left="0" w:firstLine="480"/>
        <w:rPr>
          <w:rFonts w:hint="eastAsia" w:ascii="华文中宋" w:hAnsi="华文中宋" w:eastAsia="华文中宋"/>
          <w:b/>
          <w:bCs/>
          <w:sz w:val="32"/>
          <w:szCs w:val="32"/>
          <w:highlight w:val="none"/>
          <w:lang w:val="en-US" w:eastAsia="zh-CN"/>
        </w:rPr>
      </w:pPr>
      <w:r>
        <w:rPr>
          <w:rFonts w:hint="eastAsia" w:ascii="宋体" w:hAnsi="宋体" w:cs="宋体"/>
          <w:sz w:val="24"/>
          <w:szCs w:val="24"/>
          <w:highlight w:val="none"/>
        </w:rPr>
        <w:t>日期：年月日</w:t>
      </w:r>
      <w:bookmarkStart w:id="757" w:name="_Toc13421"/>
    </w:p>
    <w:p w14:paraId="3FFF8DC0">
      <w:pPr>
        <w:rPr>
          <w:rFonts w:hint="eastAsia"/>
          <w:highlight w:val="none"/>
        </w:rPr>
      </w:pPr>
      <w:bookmarkStart w:id="758" w:name="_Toc16088"/>
      <w:bookmarkStart w:id="759" w:name="_Toc24807"/>
      <w:bookmarkStart w:id="760" w:name="_Toc2815"/>
      <w:bookmarkStart w:id="761" w:name="_Toc7252"/>
      <w:bookmarkStart w:id="762" w:name="_Toc217446085"/>
      <w:bookmarkStart w:id="763" w:name="_Toc1999"/>
      <w:bookmarkStart w:id="764" w:name="_Toc31366"/>
      <w:bookmarkStart w:id="765" w:name="_Toc508133975"/>
      <w:bookmarkStart w:id="766" w:name="_Toc15865"/>
      <w:bookmarkStart w:id="767" w:name="_Toc13788"/>
      <w:bookmarkStart w:id="768" w:name="_Toc10809"/>
      <w:bookmarkStart w:id="769" w:name="_Toc2790"/>
      <w:bookmarkStart w:id="770" w:name="_Toc24191"/>
      <w:bookmarkStart w:id="771" w:name="_Toc19373"/>
      <w:bookmarkStart w:id="772" w:name="_Toc22396"/>
      <w:bookmarkStart w:id="773" w:name="_Toc19538"/>
      <w:bookmarkStart w:id="774" w:name="_Toc27595"/>
      <w:bookmarkStart w:id="775" w:name="_Toc31449"/>
      <w:bookmarkStart w:id="776" w:name="_Toc6190"/>
      <w:bookmarkStart w:id="777" w:name="_Toc186"/>
      <w:bookmarkStart w:id="778" w:name="_Toc30754"/>
      <w:bookmarkStart w:id="779" w:name="_Toc22147"/>
      <w:bookmarkStart w:id="780" w:name="_Toc23131"/>
      <w:r>
        <w:rPr>
          <w:rFonts w:hint="eastAsia"/>
          <w:highlight w:val="none"/>
        </w:rPr>
        <w:br w:type="page"/>
      </w:r>
    </w:p>
    <w:p w14:paraId="1A2C5291">
      <w:pPr>
        <w:pStyle w:val="6"/>
        <w:spacing w:line="360" w:lineRule="auto"/>
        <w:jc w:val="center"/>
        <w:rPr>
          <w:rFonts w:hint="eastAsia" w:ascii="宋体" w:hAnsi="宋体"/>
          <w:b/>
          <w:sz w:val="24"/>
          <w:highlight w:val="none"/>
        </w:rPr>
      </w:pPr>
      <w:r>
        <w:rPr>
          <w:rFonts w:hint="eastAsia"/>
          <w:highlight w:val="none"/>
        </w:rPr>
        <w:t>五</w:t>
      </w:r>
      <w:r>
        <w:rPr>
          <w:highlight w:val="none"/>
        </w:rPr>
        <w:t>、</w:t>
      </w:r>
      <w:bookmarkEnd w:id="758"/>
      <w:bookmarkEnd w:id="759"/>
      <w:bookmarkEnd w:id="760"/>
      <w:bookmarkEnd w:id="761"/>
      <w:bookmarkEnd w:id="762"/>
      <w:bookmarkEnd w:id="763"/>
      <w:bookmarkEnd w:id="764"/>
      <w:bookmarkEnd w:id="765"/>
      <w:bookmarkEnd w:id="766"/>
      <w:bookmarkEnd w:id="767"/>
      <w:bookmarkEnd w:id="768"/>
      <w:bookmarkEnd w:id="769"/>
      <w:bookmarkEnd w:id="770"/>
      <w:r>
        <w:rPr>
          <w:rFonts w:hint="eastAsia"/>
          <w:highlight w:val="none"/>
          <w:lang w:val="en-US" w:eastAsia="zh-CN"/>
        </w:rPr>
        <w:t>报价汇总</w:t>
      </w:r>
      <w:r>
        <w:rPr>
          <w:rFonts w:hint="eastAsia"/>
          <w:highlight w:val="none"/>
        </w:rPr>
        <w:t>表</w:t>
      </w:r>
      <w:bookmarkEnd w:id="771"/>
      <w:bookmarkEnd w:id="772"/>
      <w:bookmarkEnd w:id="773"/>
      <w:bookmarkEnd w:id="774"/>
      <w:bookmarkEnd w:id="775"/>
      <w:bookmarkEnd w:id="776"/>
      <w:bookmarkEnd w:id="777"/>
      <w:bookmarkEnd w:id="778"/>
      <w:bookmarkEnd w:id="779"/>
      <w:bookmarkEnd w:id="780"/>
    </w:p>
    <w:p w14:paraId="3B6BE9AF">
      <w:pPr>
        <w:spacing w:line="360" w:lineRule="auto"/>
        <w:rPr>
          <w:rFonts w:hint="eastAsia" w:ascii="宋体" w:hAnsi="宋体"/>
          <w:b/>
          <w:sz w:val="24"/>
          <w:highlight w:val="none"/>
        </w:rPr>
      </w:pPr>
      <w:r>
        <w:rPr>
          <w:rFonts w:hint="eastAsia" w:ascii="宋体" w:hAnsi="宋体"/>
          <w:b/>
          <w:sz w:val="24"/>
          <w:highlight w:val="none"/>
        </w:rPr>
        <w:t>项目名称：</w:t>
      </w:r>
      <w:r>
        <w:rPr>
          <w:rFonts w:hint="eastAsia" w:ascii="宋体" w:hAnsi="宋体"/>
          <w:b/>
          <w:sz w:val="24"/>
          <w:highlight w:val="none"/>
          <w:lang w:val="en-US" w:eastAsia="zh-CN"/>
        </w:rPr>
        <w:t>2026年法律服务采购（第二次）</w:t>
      </w:r>
    </w:p>
    <w:p w14:paraId="017C9663">
      <w:pPr>
        <w:spacing w:line="360" w:lineRule="auto"/>
        <w:rPr>
          <w:rFonts w:hint="default" w:ascii="微软雅黑" w:hAnsi="宋体" w:eastAsia="宋体"/>
          <w:sz w:val="24"/>
          <w:szCs w:val="24"/>
          <w:highlight w:val="none"/>
          <w:lang w:val="en-US" w:eastAsia="zh-CN"/>
        </w:rPr>
      </w:pPr>
      <w:r>
        <w:rPr>
          <w:rFonts w:hint="eastAsia" w:ascii="宋体" w:hAnsi="宋体"/>
          <w:b/>
          <w:sz w:val="24"/>
          <w:highlight w:val="none"/>
        </w:rPr>
        <w:t>采购编号：</w:t>
      </w:r>
      <w:r>
        <w:rPr>
          <w:rFonts w:hint="eastAsia" w:ascii="宋体" w:hAnsi="宋体"/>
          <w:b/>
          <w:sz w:val="24"/>
          <w:highlight w:val="none"/>
          <w:lang w:val="en-US" w:eastAsia="zh-CN"/>
        </w:rPr>
        <w:t>YYCG[2025]022-1号</w:t>
      </w:r>
    </w:p>
    <w:tbl>
      <w:tblPr>
        <w:tblStyle w:val="18"/>
        <w:tblW w:w="9526"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947"/>
        <w:gridCol w:w="3109"/>
        <w:gridCol w:w="3712"/>
      </w:tblGrid>
      <w:tr w14:paraId="08FBF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58" w:type="dxa"/>
            <w:noWrap w:val="0"/>
            <w:vAlign w:val="center"/>
          </w:tcPr>
          <w:p w14:paraId="19CD4CED">
            <w:pPr>
              <w:pageBreakBefore w:val="0"/>
              <w:shd w:val="clear" w:color="auto" w:fill="auto"/>
              <w:overflowPunct/>
              <w:topLinePunct w:val="0"/>
              <w:bidi w:val="0"/>
              <w:spacing w:line="560" w:lineRule="exact"/>
              <w:jc w:val="center"/>
              <w:rPr>
                <w:rFonts w:ascii="宋体" w:hAnsi="宋体" w:cs="宋体"/>
                <w:color w:val="auto"/>
                <w:sz w:val="24"/>
                <w:highlight w:val="none"/>
              </w:rPr>
            </w:pPr>
            <w:bookmarkStart w:id="781" w:name="_Toc9280"/>
            <w:bookmarkStart w:id="782" w:name="_Toc1885"/>
            <w:bookmarkStart w:id="783" w:name="_Toc28180"/>
            <w:bookmarkStart w:id="784" w:name="_Toc19579"/>
            <w:bookmarkStart w:id="785" w:name="_Toc20497"/>
            <w:bookmarkStart w:id="786" w:name="_Toc15659"/>
            <w:bookmarkStart w:id="787" w:name="_Toc30721"/>
            <w:bookmarkStart w:id="788" w:name="_Toc16658"/>
            <w:bookmarkStart w:id="789" w:name="_Toc9733"/>
            <w:bookmarkStart w:id="790" w:name="_Toc11221"/>
            <w:bookmarkStart w:id="791" w:name="_Toc16172"/>
            <w:bookmarkStart w:id="792" w:name="_Toc27215"/>
            <w:bookmarkStart w:id="793" w:name="_Toc10621"/>
            <w:bookmarkStart w:id="794" w:name="_Toc11313"/>
            <w:bookmarkStart w:id="795" w:name="_Toc17866"/>
            <w:bookmarkStart w:id="796" w:name="_Toc5081"/>
            <w:bookmarkStart w:id="797" w:name="_Toc4881"/>
            <w:bookmarkStart w:id="798" w:name="_Toc14294"/>
            <w:r>
              <w:rPr>
                <w:rFonts w:ascii="宋体" w:hAnsi="宋体" w:cs="宋体"/>
                <w:color w:val="auto"/>
                <w:sz w:val="24"/>
                <w:highlight w:val="none"/>
              </w:rPr>
              <w:t>序号</w:t>
            </w:r>
          </w:p>
        </w:tc>
        <w:tc>
          <w:tcPr>
            <w:tcW w:w="1947" w:type="dxa"/>
            <w:noWrap w:val="0"/>
            <w:vAlign w:val="center"/>
          </w:tcPr>
          <w:p w14:paraId="6EEBC68D">
            <w:pPr>
              <w:pageBreakBefore w:val="0"/>
              <w:shd w:val="clear" w:color="auto" w:fill="auto"/>
              <w:overflowPunct/>
              <w:topLinePunct w:val="0"/>
              <w:bidi w:val="0"/>
              <w:spacing w:line="560" w:lineRule="exact"/>
              <w:jc w:val="center"/>
              <w:rPr>
                <w:rFonts w:ascii="宋体" w:hAnsi="宋体" w:cs="宋体"/>
                <w:color w:val="auto"/>
                <w:sz w:val="24"/>
                <w:highlight w:val="none"/>
              </w:rPr>
            </w:pPr>
            <w:r>
              <w:rPr>
                <w:rFonts w:ascii="宋体" w:hAnsi="宋体" w:cs="宋体"/>
                <w:color w:val="auto"/>
                <w:sz w:val="24"/>
                <w:highlight w:val="none"/>
              </w:rPr>
              <w:t>项目名称</w:t>
            </w:r>
          </w:p>
        </w:tc>
        <w:tc>
          <w:tcPr>
            <w:tcW w:w="3109" w:type="dxa"/>
            <w:noWrap w:val="0"/>
            <w:vAlign w:val="center"/>
          </w:tcPr>
          <w:p w14:paraId="08E80AC5">
            <w:pPr>
              <w:pageBreakBefore w:val="0"/>
              <w:shd w:val="clear" w:color="auto" w:fill="auto"/>
              <w:overflowPunct/>
              <w:topLinePunct w:val="0"/>
              <w:bidi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总报价</w:t>
            </w:r>
          </w:p>
        </w:tc>
        <w:tc>
          <w:tcPr>
            <w:tcW w:w="3712" w:type="dxa"/>
            <w:noWrap w:val="0"/>
            <w:vAlign w:val="top"/>
          </w:tcPr>
          <w:p w14:paraId="42D2FD52">
            <w:pPr>
              <w:pageBreakBefore w:val="0"/>
              <w:shd w:val="clear" w:color="auto" w:fill="auto"/>
              <w:overflowPunct/>
              <w:topLinePunct w:val="0"/>
              <w:bidi w:val="0"/>
              <w:spacing w:line="560" w:lineRule="exact"/>
              <w:jc w:val="center"/>
              <w:rPr>
                <w:rFonts w:ascii="宋体" w:hAnsi="宋体" w:cs="宋体"/>
                <w:color w:val="auto"/>
                <w:sz w:val="24"/>
                <w:highlight w:val="none"/>
              </w:rPr>
            </w:pPr>
            <w:r>
              <w:rPr>
                <w:rFonts w:ascii="宋体" w:hAnsi="宋体" w:cs="宋体"/>
                <w:color w:val="auto"/>
                <w:sz w:val="24"/>
                <w:highlight w:val="none"/>
              </w:rPr>
              <w:t>备注</w:t>
            </w:r>
          </w:p>
        </w:tc>
      </w:tr>
      <w:tr w14:paraId="69764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758" w:type="dxa"/>
            <w:noWrap w:val="0"/>
            <w:vAlign w:val="center"/>
          </w:tcPr>
          <w:p w14:paraId="511DBC96">
            <w:pPr>
              <w:pageBreakBefore w:val="0"/>
              <w:shd w:val="clear" w:color="auto" w:fill="auto"/>
              <w:overflowPunct/>
              <w:topLinePunct w:val="0"/>
              <w:bidi w:val="0"/>
              <w:spacing w:line="560" w:lineRule="exact"/>
              <w:jc w:val="center"/>
              <w:rPr>
                <w:rFonts w:hint="eastAsia" w:ascii="宋体" w:hAnsi="宋体" w:eastAsia="宋体" w:cs="宋体"/>
                <w:color w:val="auto"/>
                <w:sz w:val="24"/>
                <w:highlight w:val="none"/>
                <w:lang w:val="en-US" w:eastAsia="zh-CN"/>
              </w:rPr>
            </w:pPr>
            <w:r>
              <w:rPr>
                <w:rFonts w:ascii="宋体" w:hAnsi="宋体" w:cs="宋体"/>
                <w:color w:val="auto"/>
                <w:sz w:val="24"/>
                <w:highlight w:val="none"/>
              </w:rPr>
              <w:t>1</w:t>
            </w:r>
          </w:p>
        </w:tc>
        <w:tc>
          <w:tcPr>
            <w:tcW w:w="1947" w:type="dxa"/>
            <w:noWrap w:val="0"/>
            <w:vAlign w:val="center"/>
          </w:tcPr>
          <w:p w14:paraId="32335988">
            <w:pPr>
              <w:keepNext w:val="0"/>
              <w:keepLines w:val="0"/>
              <w:pageBreakBefore w:val="0"/>
              <w:widowControl/>
              <w:shd w:val="clear" w:color="auto" w:fill="auto"/>
              <w:kinsoku/>
              <w:wordWrap/>
              <w:overflowPunct/>
              <w:topLinePunct w:val="0"/>
              <w:autoSpaceDE/>
              <w:autoSpaceDN/>
              <w:bidi w:val="0"/>
              <w:adjustRightInd/>
              <w:snapToGrid/>
              <w:spacing w:line="560" w:lineRule="exact"/>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lang w:val="en-US" w:eastAsia="zh-CN"/>
              </w:rPr>
              <w:t>常年法律顾问费</w:t>
            </w:r>
          </w:p>
        </w:tc>
        <w:tc>
          <w:tcPr>
            <w:tcW w:w="3109" w:type="dxa"/>
            <w:noWrap w:val="0"/>
            <w:vAlign w:val="center"/>
          </w:tcPr>
          <w:p w14:paraId="455A2482">
            <w:pPr>
              <w:pageBreakBefore w:val="0"/>
              <w:shd w:val="clear" w:color="auto" w:fill="auto"/>
              <w:overflowPunct/>
              <w:topLinePunct w:val="0"/>
              <w:bidi w:val="0"/>
              <w:spacing w:line="5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p>
        </w:tc>
        <w:tc>
          <w:tcPr>
            <w:tcW w:w="3712" w:type="dxa"/>
            <w:noWrap w:val="0"/>
            <w:vAlign w:val="center"/>
          </w:tcPr>
          <w:p w14:paraId="20529291">
            <w:pPr>
              <w:pageBreakBefore w:val="0"/>
              <w:shd w:val="clear" w:color="auto" w:fill="auto"/>
              <w:overflowPunct/>
              <w:topLinePunct w:val="0"/>
              <w:bidi w:val="0"/>
              <w:spacing w:line="560" w:lineRule="exact"/>
              <w:jc w:val="center"/>
              <w:rPr>
                <w:rFonts w:ascii="宋体" w:hAnsi="宋体" w:cs="宋体"/>
                <w:color w:val="auto"/>
                <w:sz w:val="24"/>
                <w:highlight w:val="none"/>
              </w:rPr>
            </w:pPr>
          </w:p>
        </w:tc>
      </w:tr>
      <w:tr w14:paraId="2DE7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758" w:type="dxa"/>
            <w:noWrap w:val="0"/>
            <w:vAlign w:val="center"/>
          </w:tcPr>
          <w:p w14:paraId="72026C1D">
            <w:pPr>
              <w:pageBreakBefore w:val="0"/>
              <w:shd w:val="clear" w:color="auto" w:fill="auto"/>
              <w:overflowPunct/>
              <w:topLinePunct w:val="0"/>
              <w:bidi w:val="0"/>
              <w:spacing w:line="5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47" w:type="dxa"/>
            <w:noWrap w:val="0"/>
            <w:vAlign w:val="center"/>
          </w:tcPr>
          <w:p w14:paraId="05D993C8">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诉讼案件代理费</w:t>
            </w:r>
          </w:p>
        </w:tc>
        <w:tc>
          <w:tcPr>
            <w:tcW w:w="3109" w:type="dxa"/>
            <w:noWrap w:val="0"/>
            <w:vAlign w:val="center"/>
          </w:tcPr>
          <w:p w14:paraId="1CA97CFC">
            <w:pPr>
              <w:pageBreakBefore w:val="0"/>
              <w:shd w:val="clear" w:color="auto" w:fill="auto"/>
              <w:overflowPunct/>
              <w:topLinePunct w:val="0"/>
              <w:bidi w:val="0"/>
              <w:spacing w:line="560" w:lineRule="exact"/>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最高限价下浮     </w:t>
            </w:r>
            <w:r>
              <w:rPr>
                <w:rFonts w:hint="eastAsia" w:ascii="宋体" w:hAnsi="宋体" w:eastAsia="宋体" w:cs="宋体"/>
                <w:color w:val="auto"/>
                <w:sz w:val="24"/>
                <w:highlight w:val="none"/>
                <w:u w:val="none"/>
                <w:lang w:val="en-US" w:eastAsia="zh-CN"/>
              </w:rPr>
              <w:t>%计算</w:t>
            </w:r>
          </w:p>
        </w:tc>
        <w:tc>
          <w:tcPr>
            <w:tcW w:w="3712" w:type="dxa"/>
            <w:noWrap w:val="0"/>
            <w:vAlign w:val="center"/>
          </w:tcPr>
          <w:p w14:paraId="41D9FC8E">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highlight w:val="none"/>
                <w:lang w:eastAsia="zh-CN"/>
              </w:rPr>
            </w:pPr>
          </w:p>
        </w:tc>
      </w:tr>
    </w:tbl>
    <w:p w14:paraId="53724F98">
      <w:pPr>
        <w:keepNext w:val="0"/>
        <w:keepLines w:val="0"/>
        <w:pageBreakBefore w:val="0"/>
        <w:widowControl w:val="0"/>
        <w:kinsoku/>
        <w:wordWrap/>
        <w:overflowPunct/>
        <w:topLinePunct w:val="0"/>
        <w:autoSpaceDE/>
        <w:autoSpaceDN/>
        <w:bidi w:val="0"/>
        <w:adjustRightInd/>
        <w:snapToGrid/>
        <w:spacing w:before="120" w:line="240" w:lineRule="auto"/>
        <w:ind w:firstLine="480" w:firstLineChars="200"/>
        <w:jc w:val="left"/>
        <w:textAlignment w:val="auto"/>
        <w:rPr>
          <w:rFonts w:hint="default" w:ascii="Times New Roman" w:hAnsi="Times New Roman" w:eastAsia="宋体" w:cs="Times New Roman"/>
          <w:sz w:val="24"/>
          <w:lang w:val="en-US" w:eastAsia="zh-CN"/>
        </w:rPr>
      </w:pPr>
      <w:r>
        <w:rPr>
          <w:rFonts w:hint="eastAsia"/>
          <w:sz w:val="24"/>
          <w:lang w:val="en-US" w:eastAsia="zh-CN"/>
        </w:rPr>
        <w:t>注：</w:t>
      </w:r>
      <w:r>
        <w:rPr>
          <w:rFonts w:hint="eastAsia" w:ascii="Times New Roman" w:hAnsi="Times New Roman" w:eastAsia="宋体" w:cs="Times New Roman"/>
          <w:sz w:val="24"/>
          <w:lang w:val="en-US" w:eastAsia="zh-CN"/>
        </w:rPr>
        <w:t>1.报价是</w:t>
      </w:r>
      <w:r>
        <w:rPr>
          <w:rFonts w:hint="eastAsia" w:cs="Times New Roman"/>
          <w:sz w:val="24"/>
          <w:lang w:val="en-US" w:eastAsia="zh-CN"/>
        </w:rPr>
        <w:t>完成服务的含税价格</w:t>
      </w:r>
      <w:r>
        <w:rPr>
          <w:rFonts w:hint="eastAsia" w:ascii="Times New Roman" w:hAnsi="Times New Roman" w:eastAsia="宋体" w:cs="Times New Roman"/>
          <w:sz w:val="24"/>
          <w:lang w:val="en-US" w:eastAsia="zh-CN"/>
        </w:rPr>
        <w:t>。</w:t>
      </w:r>
    </w:p>
    <w:p w14:paraId="050CE778">
      <w:pPr>
        <w:keepNext w:val="0"/>
        <w:keepLines w:val="0"/>
        <w:pageBreakBefore w:val="0"/>
        <w:widowControl w:val="0"/>
        <w:kinsoku/>
        <w:wordWrap/>
        <w:overflowPunct/>
        <w:topLinePunct w:val="0"/>
        <w:autoSpaceDE/>
        <w:autoSpaceDN/>
        <w:bidi w:val="0"/>
        <w:adjustRightInd/>
        <w:snapToGrid/>
        <w:spacing w:before="120" w:line="240" w:lineRule="auto"/>
        <w:ind w:firstLine="960" w:firstLineChars="400"/>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2.成交供应商为采购人的提供日常法律服务时，所产生的交通食宿</w:t>
      </w:r>
      <w:r>
        <w:rPr>
          <w:rFonts w:hint="eastAsia" w:cs="Times New Roman"/>
          <w:sz w:val="24"/>
          <w:lang w:val="en-US" w:eastAsia="zh-CN"/>
        </w:rPr>
        <w:t>（省内）</w:t>
      </w:r>
      <w:r>
        <w:rPr>
          <w:rFonts w:hint="eastAsia" w:ascii="Times New Roman" w:hAnsi="Times New Roman" w:eastAsia="宋体" w:cs="Times New Roman"/>
          <w:sz w:val="24"/>
          <w:lang w:val="en-US" w:eastAsia="zh-CN"/>
        </w:rPr>
        <w:t>、查档、复（打）印费等其他费用均包含在报价中，如发现有缺、漏、少项等者，均认为报价人也综合考虑报价中。</w:t>
      </w:r>
    </w:p>
    <w:p w14:paraId="5F3C04B7">
      <w:pPr>
        <w:widowControl w:val="0"/>
        <w:spacing w:before="120"/>
        <w:ind w:firstLine="960" w:firstLineChars="400"/>
        <w:jc w:val="left"/>
        <w:rPr>
          <w:rFonts w:hint="eastAsia"/>
          <w:sz w:val="24"/>
          <w:lang w:val="en-US" w:eastAsia="zh-CN"/>
        </w:rPr>
      </w:pPr>
      <w:r>
        <w:rPr>
          <w:rFonts w:hint="eastAsia"/>
          <w:sz w:val="24"/>
          <w:lang w:val="en-US" w:eastAsia="zh-CN"/>
        </w:rPr>
        <w:t>3.报价保留整数（不作为废标条件）。</w:t>
      </w:r>
    </w:p>
    <w:p w14:paraId="6B248CC7">
      <w:pPr>
        <w:pStyle w:val="2"/>
        <w:rPr>
          <w:rFonts w:hint="eastAsia"/>
        </w:rPr>
      </w:pPr>
    </w:p>
    <w:p w14:paraId="078C3D74">
      <w:pPr>
        <w:pStyle w:val="3"/>
        <w:rPr>
          <w:rFonts w:hint="eastAsia"/>
        </w:rPr>
      </w:pPr>
    </w:p>
    <w:p w14:paraId="5BBCFA00">
      <w:pPr>
        <w:pStyle w:val="4"/>
        <w:rPr>
          <w:rFonts w:hint="eastAsia"/>
        </w:rPr>
      </w:pPr>
    </w:p>
    <w:p w14:paraId="2F1B618F">
      <w:pPr>
        <w:pStyle w:val="4"/>
        <w:rPr>
          <w:rFonts w:hint="eastAsia"/>
        </w:rPr>
      </w:pPr>
    </w:p>
    <w:p w14:paraId="26B7EECD">
      <w:pPr>
        <w:pStyle w:val="4"/>
        <w:rPr>
          <w:rFonts w:hint="eastAsia"/>
        </w:rPr>
      </w:pPr>
    </w:p>
    <w:p w14:paraId="21E134E9">
      <w:pPr>
        <w:spacing w:line="360" w:lineRule="auto"/>
        <w:ind w:firstLine="480" w:firstLineChars="200"/>
        <w:jc w:val="left"/>
        <w:rPr>
          <w:sz w:val="24"/>
        </w:rPr>
      </w:pPr>
      <w:r>
        <w:rPr>
          <w:rFonts w:hint="eastAsia"/>
          <w:sz w:val="24"/>
        </w:rPr>
        <w:t>供应商名称：XXX（盖单位公章）</w:t>
      </w:r>
    </w:p>
    <w:p w14:paraId="41F55CB5">
      <w:pPr>
        <w:spacing w:line="360" w:lineRule="auto"/>
        <w:ind w:firstLine="480" w:firstLineChars="200"/>
        <w:jc w:val="left"/>
        <w:rPr>
          <w:sz w:val="24"/>
        </w:rPr>
      </w:pPr>
      <w:r>
        <w:rPr>
          <w:rFonts w:hint="eastAsia"/>
          <w:sz w:val="24"/>
        </w:rPr>
        <w:t>法定代表人或授权代表（签字或盖章）：XXX</w:t>
      </w:r>
    </w:p>
    <w:p w14:paraId="4CB1B9A1">
      <w:pPr>
        <w:rPr>
          <w:rFonts w:hint="eastAsia" w:ascii="方正仿宋简体" w:hAnsi="方正仿宋简体" w:eastAsia="方正仿宋简体" w:cs="方正仿宋简体"/>
          <w:b/>
          <w:bCs/>
          <w:sz w:val="28"/>
          <w:szCs w:val="21"/>
        </w:rPr>
      </w:pPr>
      <w:r>
        <w:rPr>
          <w:rFonts w:hint="eastAsia"/>
          <w:sz w:val="24"/>
        </w:rPr>
        <w:t>日期：XXX年XXX月XXX日</w:t>
      </w:r>
      <w:r>
        <w:rPr>
          <w:rFonts w:hint="eastAsia" w:ascii="方正仿宋简体" w:hAnsi="方正仿宋简体" w:eastAsia="方正仿宋简体" w:cs="方正仿宋简体"/>
          <w:b/>
          <w:bCs/>
          <w:sz w:val="28"/>
          <w:szCs w:val="21"/>
        </w:rPr>
        <w:br w:type="page"/>
      </w:r>
    </w:p>
    <w:p w14:paraId="6A58FEF1">
      <w:pPr>
        <w:pStyle w:val="6"/>
        <w:keepNext/>
        <w:keepLines/>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auto"/>
        <w:outlineLvl w:val="1"/>
        <w:rPr>
          <w:color w:val="auto"/>
          <w:sz w:val="32"/>
          <w:szCs w:val="32"/>
          <w:highlight w:val="none"/>
        </w:rPr>
      </w:pPr>
      <w:bookmarkStart w:id="799" w:name="_Toc29706"/>
      <w:bookmarkStart w:id="800" w:name="_Toc27983"/>
      <w:r>
        <w:rPr>
          <w:rFonts w:hint="eastAsia"/>
          <w:color w:val="auto"/>
          <w:sz w:val="32"/>
          <w:szCs w:val="32"/>
          <w:highlight w:val="none"/>
          <w:lang w:eastAsia="zh-CN"/>
        </w:rPr>
        <w:t>六、</w:t>
      </w:r>
      <w:r>
        <w:rPr>
          <w:rFonts w:hint="eastAsia"/>
          <w:color w:val="auto"/>
          <w:sz w:val="32"/>
          <w:szCs w:val="32"/>
          <w:highlight w:val="none"/>
        </w:rPr>
        <w:t>业绩一览表</w:t>
      </w:r>
      <w:bookmarkEnd w:id="799"/>
      <w:bookmarkEnd w:id="800"/>
    </w:p>
    <w:p w14:paraId="39E05F74">
      <w:pPr>
        <w:pageBreakBefore w:val="0"/>
        <w:shd w:val="clear" w:color="auto" w:fill="auto"/>
        <w:overflowPunct/>
        <w:topLinePunct w:val="0"/>
        <w:bidi w:val="0"/>
        <w:spacing w:line="560" w:lineRule="exact"/>
        <w:jc w:val="center"/>
        <w:rPr>
          <w:rFonts w:hAnsi="宋体"/>
          <w:color w:val="auto"/>
          <w:sz w:val="24"/>
          <w:highlight w:val="none"/>
        </w:rPr>
      </w:pPr>
      <w:r>
        <w:rPr>
          <w:rFonts w:hAnsi="宋体"/>
          <w:color w:val="auto"/>
          <w:sz w:val="28"/>
          <w:szCs w:val="28"/>
          <w:highlight w:val="none"/>
        </w:rPr>
        <w:t>（</w:t>
      </w:r>
      <w:r>
        <w:rPr>
          <w:rFonts w:hAnsi="宋体"/>
          <w:color w:val="auto"/>
          <w:sz w:val="24"/>
          <w:highlight w:val="none"/>
        </w:rPr>
        <w:t>由</w:t>
      </w:r>
      <w:r>
        <w:rPr>
          <w:rFonts w:hint="eastAsia" w:ascii="微软雅黑" w:hAnsi="宋体"/>
          <w:color w:val="auto"/>
          <w:sz w:val="24"/>
          <w:szCs w:val="24"/>
          <w:highlight w:val="none"/>
        </w:rPr>
        <w:t>供应商</w:t>
      </w:r>
      <w:r>
        <w:rPr>
          <w:rFonts w:hAnsi="宋体"/>
          <w:color w:val="auto"/>
          <w:sz w:val="24"/>
          <w:highlight w:val="none"/>
        </w:rPr>
        <w:t>据实提交）</w:t>
      </w:r>
    </w:p>
    <w:p w14:paraId="58BC701B">
      <w:pPr>
        <w:pageBreakBefore w:val="0"/>
        <w:shd w:val="clear" w:color="auto" w:fill="auto"/>
        <w:overflowPunct/>
        <w:topLinePunct w:val="0"/>
        <w:bidi w:val="0"/>
        <w:spacing w:line="560" w:lineRule="exact"/>
        <w:ind w:firstLine="480" w:firstLineChars="200"/>
        <w:rPr>
          <w:rFonts w:hAnsi="宋体"/>
          <w:color w:val="auto"/>
          <w:sz w:val="24"/>
          <w:highlight w:val="none"/>
        </w:rPr>
      </w:pPr>
      <w:r>
        <w:rPr>
          <w:rFonts w:hAnsi="宋体"/>
          <w:color w:val="auto"/>
          <w:sz w:val="24"/>
          <w:highlight w:val="none"/>
        </w:rPr>
        <w:t xml:space="preserve"> </w:t>
      </w:r>
    </w:p>
    <w:tbl>
      <w:tblPr>
        <w:tblStyle w:val="1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09"/>
        <w:gridCol w:w="1648"/>
        <w:gridCol w:w="1935"/>
        <w:gridCol w:w="1320"/>
        <w:gridCol w:w="1050"/>
        <w:gridCol w:w="1065"/>
      </w:tblGrid>
      <w:tr w14:paraId="13F3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noWrap w:val="0"/>
            <w:vAlign w:val="center"/>
          </w:tcPr>
          <w:p w14:paraId="245B7BAF">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序号</w:t>
            </w:r>
          </w:p>
        </w:tc>
        <w:tc>
          <w:tcPr>
            <w:tcW w:w="709" w:type="dxa"/>
            <w:noWrap w:val="0"/>
            <w:vAlign w:val="center"/>
          </w:tcPr>
          <w:p w14:paraId="6D2F60B8">
            <w:pPr>
              <w:pageBreakBefore w:val="0"/>
              <w:shd w:val="clear" w:color="auto" w:fill="auto"/>
              <w:overflowPunct/>
              <w:topLinePunct w:val="0"/>
              <w:bidi w:val="0"/>
              <w:spacing w:line="560" w:lineRule="exact"/>
              <w:jc w:val="center"/>
              <w:rPr>
                <w:rFonts w:hint="eastAsia" w:hAnsi="宋体"/>
                <w:color w:val="auto"/>
                <w:kern w:val="2"/>
                <w:sz w:val="24"/>
                <w:highlight w:val="none"/>
              </w:rPr>
            </w:pPr>
            <w:r>
              <w:rPr>
                <w:rFonts w:hAnsi="宋体"/>
                <w:color w:val="auto"/>
                <w:kern w:val="2"/>
                <w:sz w:val="24"/>
                <w:highlight w:val="none"/>
              </w:rPr>
              <w:t>年</w:t>
            </w:r>
            <w:r>
              <w:rPr>
                <w:rFonts w:hint="eastAsia" w:hAnsi="宋体"/>
                <w:color w:val="auto"/>
                <w:kern w:val="2"/>
                <w:sz w:val="24"/>
                <w:highlight w:val="none"/>
              </w:rPr>
              <w:t>份</w:t>
            </w:r>
          </w:p>
        </w:tc>
        <w:tc>
          <w:tcPr>
            <w:tcW w:w="1648" w:type="dxa"/>
            <w:noWrap w:val="0"/>
            <w:vAlign w:val="center"/>
          </w:tcPr>
          <w:p w14:paraId="47A102CE">
            <w:pPr>
              <w:pageBreakBefore w:val="0"/>
              <w:shd w:val="clear" w:color="auto" w:fill="auto"/>
              <w:overflowPunct/>
              <w:topLinePunct w:val="0"/>
              <w:bidi w:val="0"/>
              <w:spacing w:line="560" w:lineRule="exact"/>
              <w:jc w:val="center"/>
              <w:rPr>
                <w:rFonts w:hAnsi="宋体"/>
                <w:color w:val="auto"/>
                <w:kern w:val="2"/>
                <w:sz w:val="24"/>
                <w:highlight w:val="none"/>
              </w:rPr>
            </w:pPr>
            <w:r>
              <w:rPr>
                <w:rFonts w:hint="eastAsia" w:hAnsi="宋体"/>
                <w:color w:val="auto"/>
                <w:kern w:val="2"/>
                <w:sz w:val="24"/>
                <w:highlight w:val="none"/>
              </w:rPr>
              <w:t>项目业主</w:t>
            </w:r>
          </w:p>
        </w:tc>
        <w:tc>
          <w:tcPr>
            <w:tcW w:w="1935" w:type="dxa"/>
            <w:noWrap w:val="0"/>
            <w:vAlign w:val="center"/>
          </w:tcPr>
          <w:p w14:paraId="064A95BE">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项目名称</w:t>
            </w:r>
          </w:p>
        </w:tc>
        <w:tc>
          <w:tcPr>
            <w:tcW w:w="1320" w:type="dxa"/>
            <w:tcBorders>
              <w:left w:val="single" w:color="auto" w:sz="6" w:space="0"/>
            </w:tcBorders>
            <w:noWrap w:val="0"/>
            <w:vAlign w:val="center"/>
          </w:tcPr>
          <w:p w14:paraId="05484038">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合同</w:t>
            </w:r>
          </w:p>
          <w:p w14:paraId="5EC4761C">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金额</w:t>
            </w:r>
            <w:r>
              <w:rPr>
                <w:rFonts w:hint="eastAsia" w:hAnsi="宋体"/>
                <w:color w:val="auto"/>
                <w:kern w:val="2"/>
                <w:sz w:val="24"/>
                <w:highlight w:val="none"/>
              </w:rPr>
              <w:t>（元）</w:t>
            </w:r>
          </w:p>
        </w:tc>
        <w:tc>
          <w:tcPr>
            <w:tcW w:w="1050" w:type="dxa"/>
            <w:noWrap w:val="0"/>
            <w:vAlign w:val="center"/>
          </w:tcPr>
          <w:p w14:paraId="1B69E6C8">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完成</w:t>
            </w:r>
          </w:p>
          <w:p w14:paraId="6532A7A9">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时间</w:t>
            </w:r>
          </w:p>
        </w:tc>
        <w:tc>
          <w:tcPr>
            <w:tcW w:w="1065" w:type="dxa"/>
            <w:noWrap w:val="0"/>
            <w:vAlign w:val="center"/>
          </w:tcPr>
          <w:p w14:paraId="6540AEC5">
            <w:pPr>
              <w:pageBreakBefore w:val="0"/>
              <w:shd w:val="clear" w:color="auto" w:fill="auto"/>
              <w:overflowPunct/>
              <w:topLinePunct w:val="0"/>
              <w:bidi w:val="0"/>
              <w:spacing w:line="560" w:lineRule="exact"/>
              <w:jc w:val="center"/>
              <w:rPr>
                <w:rFonts w:hint="eastAsia" w:hAnsi="宋体"/>
                <w:color w:val="auto"/>
                <w:kern w:val="2"/>
                <w:sz w:val="24"/>
                <w:highlight w:val="none"/>
              </w:rPr>
            </w:pPr>
            <w:r>
              <w:rPr>
                <w:rFonts w:hint="eastAsia" w:hAnsi="宋体"/>
                <w:color w:val="auto"/>
                <w:kern w:val="2"/>
                <w:sz w:val="24"/>
                <w:highlight w:val="none"/>
              </w:rPr>
              <w:t>备注</w:t>
            </w:r>
          </w:p>
        </w:tc>
      </w:tr>
      <w:tr w14:paraId="47ED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noWrap w:val="0"/>
            <w:vAlign w:val="center"/>
          </w:tcPr>
          <w:p w14:paraId="6EEA68D2">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1</w:t>
            </w:r>
          </w:p>
        </w:tc>
        <w:tc>
          <w:tcPr>
            <w:tcW w:w="709" w:type="dxa"/>
            <w:noWrap w:val="0"/>
            <w:vAlign w:val="top"/>
          </w:tcPr>
          <w:p w14:paraId="7839D56E">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648" w:type="dxa"/>
            <w:noWrap w:val="0"/>
            <w:vAlign w:val="center"/>
          </w:tcPr>
          <w:p w14:paraId="34D73395">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935" w:type="dxa"/>
            <w:noWrap w:val="0"/>
            <w:vAlign w:val="top"/>
          </w:tcPr>
          <w:p w14:paraId="2B18A9AC">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320" w:type="dxa"/>
            <w:tcBorders>
              <w:left w:val="single" w:color="auto" w:sz="6" w:space="0"/>
            </w:tcBorders>
            <w:noWrap w:val="0"/>
            <w:vAlign w:val="center"/>
          </w:tcPr>
          <w:p w14:paraId="5AE2E5E6">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50" w:type="dxa"/>
            <w:noWrap w:val="0"/>
            <w:vAlign w:val="center"/>
          </w:tcPr>
          <w:p w14:paraId="653A8C0D">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65" w:type="dxa"/>
            <w:noWrap w:val="0"/>
            <w:vAlign w:val="center"/>
          </w:tcPr>
          <w:p w14:paraId="2B80AB38">
            <w:pPr>
              <w:pageBreakBefore w:val="0"/>
              <w:shd w:val="clear" w:color="auto" w:fill="auto"/>
              <w:overflowPunct/>
              <w:topLinePunct w:val="0"/>
              <w:bidi w:val="0"/>
              <w:spacing w:line="560" w:lineRule="exact"/>
              <w:jc w:val="center"/>
              <w:rPr>
                <w:rFonts w:hAnsi="宋体"/>
                <w:color w:val="auto"/>
                <w:kern w:val="2"/>
                <w:sz w:val="24"/>
                <w:highlight w:val="none"/>
              </w:rPr>
            </w:pPr>
          </w:p>
        </w:tc>
      </w:tr>
      <w:tr w14:paraId="6E32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noWrap w:val="0"/>
            <w:vAlign w:val="center"/>
          </w:tcPr>
          <w:p w14:paraId="17BBAEED">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2</w:t>
            </w:r>
          </w:p>
        </w:tc>
        <w:tc>
          <w:tcPr>
            <w:tcW w:w="709" w:type="dxa"/>
            <w:noWrap w:val="0"/>
            <w:vAlign w:val="top"/>
          </w:tcPr>
          <w:p w14:paraId="7B6AA527">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648" w:type="dxa"/>
            <w:noWrap w:val="0"/>
            <w:vAlign w:val="center"/>
          </w:tcPr>
          <w:p w14:paraId="072D491C">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935" w:type="dxa"/>
            <w:noWrap w:val="0"/>
            <w:vAlign w:val="top"/>
          </w:tcPr>
          <w:p w14:paraId="0E8DFBAF">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320" w:type="dxa"/>
            <w:tcBorders>
              <w:left w:val="single" w:color="auto" w:sz="6" w:space="0"/>
            </w:tcBorders>
            <w:noWrap w:val="0"/>
            <w:vAlign w:val="center"/>
          </w:tcPr>
          <w:p w14:paraId="7B14B337">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50" w:type="dxa"/>
            <w:noWrap w:val="0"/>
            <w:vAlign w:val="center"/>
          </w:tcPr>
          <w:p w14:paraId="5666F7C0">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65" w:type="dxa"/>
            <w:noWrap w:val="0"/>
            <w:vAlign w:val="center"/>
          </w:tcPr>
          <w:p w14:paraId="679F4269">
            <w:pPr>
              <w:pageBreakBefore w:val="0"/>
              <w:shd w:val="clear" w:color="auto" w:fill="auto"/>
              <w:overflowPunct/>
              <w:topLinePunct w:val="0"/>
              <w:bidi w:val="0"/>
              <w:spacing w:line="560" w:lineRule="exact"/>
              <w:jc w:val="center"/>
              <w:rPr>
                <w:rFonts w:hAnsi="宋体"/>
                <w:color w:val="auto"/>
                <w:kern w:val="2"/>
                <w:sz w:val="24"/>
                <w:highlight w:val="none"/>
              </w:rPr>
            </w:pPr>
          </w:p>
        </w:tc>
      </w:tr>
      <w:tr w14:paraId="0D40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noWrap w:val="0"/>
            <w:vAlign w:val="center"/>
          </w:tcPr>
          <w:p w14:paraId="5AF0064A">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3</w:t>
            </w:r>
          </w:p>
        </w:tc>
        <w:tc>
          <w:tcPr>
            <w:tcW w:w="709" w:type="dxa"/>
            <w:noWrap w:val="0"/>
            <w:vAlign w:val="top"/>
          </w:tcPr>
          <w:p w14:paraId="2F98DC41">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648" w:type="dxa"/>
            <w:noWrap w:val="0"/>
            <w:vAlign w:val="center"/>
          </w:tcPr>
          <w:p w14:paraId="08B42717">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935" w:type="dxa"/>
            <w:noWrap w:val="0"/>
            <w:vAlign w:val="top"/>
          </w:tcPr>
          <w:p w14:paraId="3BE88623">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320" w:type="dxa"/>
            <w:tcBorders>
              <w:left w:val="single" w:color="auto" w:sz="6" w:space="0"/>
            </w:tcBorders>
            <w:noWrap w:val="0"/>
            <w:vAlign w:val="center"/>
          </w:tcPr>
          <w:p w14:paraId="3024425D">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50" w:type="dxa"/>
            <w:noWrap w:val="0"/>
            <w:vAlign w:val="center"/>
          </w:tcPr>
          <w:p w14:paraId="3150EEE1">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65" w:type="dxa"/>
            <w:noWrap w:val="0"/>
            <w:vAlign w:val="center"/>
          </w:tcPr>
          <w:p w14:paraId="7A4FDDEC">
            <w:pPr>
              <w:pageBreakBefore w:val="0"/>
              <w:shd w:val="clear" w:color="auto" w:fill="auto"/>
              <w:overflowPunct/>
              <w:topLinePunct w:val="0"/>
              <w:bidi w:val="0"/>
              <w:spacing w:line="560" w:lineRule="exact"/>
              <w:jc w:val="center"/>
              <w:rPr>
                <w:rFonts w:hAnsi="宋体"/>
                <w:color w:val="auto"/>
                <w:kern w:val="2"/>
                <w:sz w:val="24"/>
                <w:highlight w:val="none"/>
              </w:rPr>
            </w:pPr>
          </w:p>
        </w:tc>
      </w:tr>
      <w:tr w14:paraId="3F1A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noWrap w:val="0"/>
            <w:vAlign w:val="center"/>
          </w:tcPr>
          <w:p w14:paraId="1B442E80">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4</w:t>
            </w:r>
          </w:p>
        </w:tc>
        <w:tc>
          <w:tcPr>
            <w:tcW w:w="709" w:type="dxa"/>
            <w:noWrap w:val="0"/>
            <w:vAlign w:val="top"/>
          </w:tcPr>
          <w:p w14:paraId="22499DA6">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648" w:type="dxa"/>
            <w:noWrap w:val="0"/>
            <w:vAlign w:val="center"/>
          </w:tcPr>
          <w:p w14:paraId="1F5D0EEE">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935" w:type="dxa"/>
            <w:noWrap w:val="0"/>
            <w:vAlign w:val="top"/>
          </w:tcPr>
          <w:p w14:paraId="2CFD6AAA">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320" w:type="dxa"/>
            <w:tcBorders>
              <w:left w:val="single" w:color="auto" w:sz="6" w:space="0"/>
            </w:tcBorders>
            <w:noWrap w:val="0"/>
            <w:vAlign w:val="center"/>
          </w:tcPr>
          <w:p w14:paraId="619E7A78">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50" w:type="dxa"/>
            <w:noWrap w:val="0"/>
            <w:vAlign w:val="center"/>
          </w:tcPr>
          <w:p w14:paraId="0B428712">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65" w:type="dxa"/>
            <w:noWrap w:val="0"/>
            <w:vAlign w:val="center"/>
          </w:tcPr>
          <w:p w14:paraId="1607012F">
            <w:pPr>
              <w:pageBreakBefore w:val="0"/>
              <w:shd w:val="clear" w:color="auto" w:fill="auto"/>
              <w:overflowPunct/>
              <w:topLinePunct w:val="0"/>
              <w:bidi w:val="0"/>
              <w:spacing w:line="560" w:lineRule="exact"/>
              <w:jc w:val="center"/>
              <w:rPr>
                <w:rFonts w:hAnsi="宋体"/>
                <w:color w:val="auto"/>
                <w:kern w:val="2"/>
                <w:sz w:val="24"/>
                <w:highlight w:val="none"/>
              </w:rPr>
            </w:pPr>
          </w:p>
        </w:tc>
      </w:tr>
      <w:tr w14:paraId="44F4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noWrap w:val="0"/>
            <w:vAlign w:val="center"/>
          </w:tcPr>
          <w:p w14:paraId="483CB7E0">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w:t>
            </w:r>
          </w:p>
        </w:tc>
        <w:tc>
          <w:tcPr>
            <w:tcW w:w="709" w:type="dxa"/>
            <w:noWrap w:val="0"/>
            <w:vAlign w:val="top"/>
          </w:tcPr>
          <w:p w14:paraId="26A5367D">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648" w:type="dxa"/>
            <w:noWrap w:val="0"/>
            <w:vAlign w:val="center"/>
          </w:tcPr>
          <w:p w14:paraId="7B40841C">
            <w:pPr>
              <w:pageBreakBefore w:val="0"/>
              <w:shd w:val="clear" w:color="auto" w:fill="auto"/>
              <w:overflowPunct/>
              <w:topLinePunct w:val="0"/>
              <w:bidi w:val="0"/>
              <w:spacing w:line="560" w:lineRule="exact"/>
              <w:jc w:val="center"/>
              <w:rPr>
                <w:rFonts w:hAnsi="宋体"/>
                <w:color w:val="auto"/>
                <w:kern w:val="2"/>
                <w:sz w:val="24"/>
                <w:highlight w:val="none"/>
              </w:rPr>
            </w:pPr>
            <w:r>
              <w:rPr>
                <w:rFonts w:hAnsi="宋体"/>
                <w:color w:val="auto"/>
                <w:kern w:val="2"/>
                <w:sz w:val="24"/>
                <w:highlight w:val="none"/>
              </w:rPr>
              <w:t>……</w:t>
            </w:r>
          </w:p>
        </w:tc>
        <w:tc>
          <w:tcPr>
            <w:tcW w:w="1935" w:type="dxa"/>
            <w:noWrap w:val="0"/>
            <w:vAlign w:val="top"/>
          </w:tcPr>
          <w:p w14:paraId="544E7D3A">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320" w:type="dxa"/>
            <w:tcBorders>
              <w:left w:val="single" w:color="auto" w:sz="6" w:space="0"/>
            </w:tcBorders>
            <w:noWrap w:val="0"/>
            <w:vAlign w:val="center"/>
          </w:tcPr>
          <w:p w14:paraId="6F4ADBFD">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50" w:type="dxa"/>
            <w:noWrap w:val="0"/>
            <w:vAlign w:val="center"/>
          </w:tcPr>
          <w:p w14:paraId="6B395CB8">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65" w:type="dxa"/>
            <w:noWrap w:val="0"/>
            <w:vAlign w:val="center"/>
          </w:tcPr>
          <w:p w14:paraId="5849D75B">
            <w:pPr>
              <w:pageBreakBefore w:val="0"/>
              <w:shd w:val="clear" w:color="auto" w:fill="auto"/>
              <w:overflowPunct/>
              <w:topLinePunct w:val="0"/>
              <w:bidi w:val="0"/>
              <w:spacing w:line="560" w:lineRule="exact"/>
              <w:jc w:val="center"/>
              <w:rPr>
                <w:rFonts w:hAnsi="宋体"/>
                <w:color w:val="auto"/>
                <w:kern w:val="2"/>
                <w:sz w:val="24"/>
                <w:highlight w:val="none"/>
              </w:rPr>
            </w:pPr>
          </w:p>
        </w:tc>
      </w:tr>
      <w:tr w14:paraId="7A22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 w:type="dxa"/>
            <w:noWrap w:val="0"/>
            <w:vAlign w:val="center"/>
          </w:tcPr>
          <w:p w14:paraId="7F0BA1D6">
            <w:pPr>
              <w:pageBreakBefore w:val="0"/>
              <w:shd w:val="clear" w:color="auto" w:fill="auto"/>
              <w:overflowPunct/>
              <w:topLinePunct w:val="0"/>
              <w:bidi w:val="0"/>
              <w:spacing w:line="560" w:lineRule="exact"/>
              <w:jc w:val="center"/>
              <w:rPr>
                <w:rFonts w:hAnsi="宋体"/>
                <w:color w:val="auto"/>
                <w:kern w:val="2"/>
                <w:sz w:val="24"/>
                <w:highlight w:val="none"/>
              </w:rPr>
            </w:pPr>
          </w:p>
        </w:tc>
        <w:tc>
          <w:tcPr>
            <w:tcW w:w="709" w:type="dxa"/>
            <w:noWrap w:val="0"/>
            <w:vAlign w:val="top"/>
          </w:tcPr>
          <w:p w14:paraId="67DD6B76">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648" w:type="dxa"/>
            <w:noWrap w:val="0"/>
            <w:vAlign w:val="center"/>
          </w:tcPr>
          <w:p w14:paraId="2A8E0E84">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935" w:type="dxa"/>
            <w:noWrap w:val="0"/>
            <w:vAlign w:val="top"/>
          </w:tcPr>
          <w:p w14:paraId="037E0964">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320" w:type="dxa"/>
            <w:tcBorders>
              <w:left w:val="single" w:color="auto" w:sz="6" w:space="0"/>
            </w:tcBorders>
            <w:noWrap w:val="0"/>
            <w:vAlign w:val="center"/>
          </w:tcPr>
          <w:p w14:paraId="0D34E8F2">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50" w:type="dxa"/>
            <w:noWrap w:val="0"/>
            <w:vAlign w:val="center"/>
          </w:tcPr>
          <w:p w14:paraId="44FE9ED1">
            <w:pPr>
              <w:pageBreakBefore w:val="0"/>
              <w:shd w:val="clear" w:color="auto" w:fill="auto"/>
              <w:overflowPunct/>
              <w:topLinePunct w:val="0"/>
              <w:bidi w:val="0"/>
              <w:spacing w:line="560" w:lineRule="exact"/>
              <w:jc w:val="center"/>
              <w:rPr>
                <w:rFonts w:hAnsi="宋体"/>
                <w:color w:val="auto"/>
                <w:kern w:val="2"/>
                <w:sz w:val="24"/>
                <w:highlight w:val="none"/>
              </w:rPr>
            </w:pPr>
          </w:p>
        </w:tc>
        <w:tc>
          <w:tcPr>
            <w:tcW w:w="1065" w:type="dxa"/>
            <w:noWrap w:val="0"/>
            <w:vAlign w:val="center"/>
          </w:tcPr>
          <w:p w14:paraId="122F52D6">
            <w:pPr>
              <w:pageBreakBefore w:val="0"/>
              <w:shd w:val="clear" w:color="auto" w:fill="auto"/>
              <w:overflowPunct/>
              <w:topLinePunct w:val="0"/>
              <w:bidi w:val="0"/>
              <w:spacing w:line="560" w:lineRule="exact"/>
              <w:jc w:val="center"/>
              <w:rPr>
                <w:rFonts w:hAnsi="宋体"/>
                <w:color w:val="auto"/>
                <w:kern w:val="2"/>
                <w:sz w:val="24"/>
                <w:highlight w:val="none"/>
              </w:rPr>
            </w:pPr>
          </w:p>
        </w:tc>
      </w:tr>
    </w:tbl>
    <w:p w14:paraId="6BACCBD2">
      <w:pPr>
        <w:pageBreakBefore w:val="0"/>
        <w:shd w:val="clear" w:color="auto" w:fill="auto"/>
        <w:overflowPunct/>
        <w:topLinePunct w:val="0"/>
        <w:bidi w:val="0"/>
        <w:spacing w:line="560" w:lineRule="exact"/>
        <w:rPr>
          <w:rFonts w:hAnsi="宋体"/>
          <w:color w:val="auto"/>
          <w:sz w:val="24"/>
          <w:highlight w:val="none"/>
        </w:rPr>
      </w:pPr>
      <w:r>
        <w:rPr>
          <w:rFonts w:hAnsi="宋体"/>
          <w:color w:val="auto"/>
          <w:sz w:val="24"/>
          <w:highlight w:val="none"/>
        </w:rPr>
        <w:t>填写说明：</w:t>
      </w:r>
    </w:p>
    <w:p w14:paraId="339D7E73">
      <w:pPr>
        <w:pStyle w:val="9"/>
        <w:pageBreakBefore w:val="0"/>
        <w:widowControl w:val="0"/>
        <w:shd w:val="clear" w:color="auto" w:fill="auto"/>
        <w:tabs>
          <w:tab w:val="left" w:pos="600"/>
        </w:tabs>
        <w:overflowPunct/>
        <w:topLinePunct w:val="0"/>
        <w:bidi w:val="0"/>
        <w:spacing w:line="560" w:lineRule="exact"/>
        <w:ind w:firstLine="482" w:firstLineChars="200"/>
        <w:rPr>
          <w:rFonts w:hAnsi="宋体"/>
          <w:b/>
          <w:bCs/>
          <w:color w:val="auto"/>
          <w:sz w:val="24"/>
          <w:highlight w:val="none"/>
        </w:rPr>
      </w:pPr>
      <w:r>
        <w:rPr>
          <w:rFonts w:hAnsi="宋体"/>
          <w:b/>
          <w:bCs/>
          <w:color w:val="auto"/>
          <w:sz w:val="24"/>
          <w:highlight w:val="none"/>
        </w:rPr>
        <w:t>1.</w:t>
      </w:r>
      <w:r>
        <w:rPr>
          <w:rFonts w:hint="eastAsia" w:hAnsi="宋体"/>
          <w:b/>
          <w:bCs/>
          <w:color w:val="auto"/>
          <w:sz w:val="24"/>
          <w:highlight w:val="none"/>
        </w:rPr>
        <w:t>供应商</w:t>
      </w:r>
      <w:r>
        <w:rPr>
          <w:rFonts w:hAnsi="宋体"/>
          <w:b/>
          <w:bCs/>
          <w:color w:val="auto"/>
          <w:sz w:val="24"/>
          <w:highlight w:val="none"/>
        </w:rPr>
        <w:t>在此表中按时间先后顺序逐条完整、详细列出(</w:t>
      </w:r>
      <w:r>
        <w:rPr>
          <w:rFonts w:hint="eastAsia" w:hAnsi="宋体"/>
          <w:b/>
          <w:bCs/>
          <w:color w:val="auto"/>
          <w:sz w:val="24"/>
          <w:highlight w:val="none"/>
          <w:lang w:val="en-US" w:eastAsia="zh-CN"/>
        </w:rPr>
        <w:t>2024</w:t>
      </w:r>
      <w:r>
        <w:rPr>
          <w:rFonts w:hint="eastAsia" w:hAnsi="宋体"/>
          <w:b/>
          <w:bCs/>
          <w:color w:val="auto"/>
          <w:sz w:val="24"/>
          <w:highlight w:val="none"/>
          <w:lang w:eastAsia="zh-CN"/>
        </w:rPr>
        <w:t>年</w:t>
      </w:r>
      <w:r>
        <w:rPr>
          <w:rFonts w:hint="eastAsia" w:hAnsi="宋体"/>
          <w:b/>
          <w:bCs/>
          <w:color w:val="auto"/>
          <w:sz w:val="24"/>
          <w:highlight w:val="none"/>
          <w:lang w:val="en-US" w:eastAsia="zh-CN"/>
        </w:rPr>
        <w:t>1</w:t>
      </w:r>
      <w:r>
        <w:rPr>
          <w:rFonts w:hint="eastAsia" w:hAnsi="宋体"/>
          <w:b/>
          <w:bCs/>
          <w:color w:val="auto"/>
          <w:sz w:val="24"/>
          <w:highlight w:val="none"/>
          <w:lang w:eastAsia="zh-CN"/>
        </w:rPr>
        <w:t>月</w:t>
      </w:r>
      <w:r>
        <w:rPr>
          <w:rFonts w:hint="eastAsia" w:hAnsi="宋体"/>
          <w:b/>
          <w:bCs/>
          <w:color w:val="auto"/>
          <w:sz w:val="24"/>
          <w:highlight w:val="none"/>
          <w:lang w:val="en-US" w:eastAsia="zh-CN"/>
        </w:rPr>
        <w:t>1</w:t>
      </w:r>
      <w:r>
        <w:rPr>
          <w:rFonts w:hint="eastAsia" w:hAnsi="宋体"/>
          <w:b/>
          <w:bCs/>
          <w:color w:val="auto"/>
          <w:sz w:val="24"/>
          <w:highlight w:val="none"/>
          <w:lang w:eastAsia="zh-CN"/>
        </w:rPr>
        <w:t>日-至本项目</w:t>
      </w:r>
      <w:r>
        <w:rPr>
          <w:rFonts w:hint="eastAsia" w:hAnsi="宋体"/>
          <w:b/>
          <w:bCs/>
          <w:color w:val="auto"/>
          <w:sz w:val="24"/>
          <w:highlight w:val="none"/>
          <w:lang w:val="en-US" w:eastAsia="zh-CN"/>
        </w:rPr>
        <w:t>磋商截止</w:t>
      </w:r>
      <w:r>
        <w:rPr>
          <w:rFonts w:hint="eastAsia" w:hAnsi="宋体"/>
          <w:b/>
          <w:bCs/>
          <w:color w:val="auto"/>
          <w:sz w:val="24"/>
          <w:highlight w:val="none"/>
          <w:lang w:eastAsia="zh-CN"/>
        </w:rPr>
        <w:t>日</w:t>
      </w:r>
      <w:r>
        <w:rPr>
          <w:rFonts w:hAnsi="宋体"/>
          <w:b/>
          <w:bCs/>
          <w:color w:val="auto"/>
          <w:sz w:val="24"/>
          <w:highlight w:val="none"/>
        </w:rPr>
        <w:t>)</w:t>
      </w:r>
      <w:r>
        <w:rPr>
          <w:rFonts w:hint="eastAsia" w:hAnsi="宋体"/>
          <w:b/>
          <w:bCs/>
          <w:color w:val="auto"/>
          <w:sz w:val="24"/>
          <w:highlight w:val="none"/>
          <w:lang w:val="en-US" w:eastAsia="zh-CN"/>
        </w:rPr>
        <w:t>正在履行或已完成</w:t>
      </w:r>
      <w:r>
        <w:rPr>
          <w:rFonts w:hint="eastAsia" w:ascii="宋体" w:hAnsi="宋体" w:eastAsia="宋体" w:cs="宋体"/>
          <w:b/>
          <w:bCs/>
          <w:color w:val="auto"/>
          <w:sz w:val="24"/>
          <w:szCs w:val="24"/>
          <w:highlight w:val="none"/>
          <w:lang w:val="en-US" w:eastAsia="zh-CN"/>
        </w:rPr>
        <w:t>业绩；</w:t>
      </w:r>
    </w:p>
    <w:p w14:paraId="5644B289">
      <w:pPr>
        <w:pageBreakBefore w:val="0"/>
        <w:shd w:val="clear" w:color="auto" w:fill="auto"/>
        <w:overflowPunct/>
        <w:topLinePunct w:val="0"/>
        <w:bidi w:val="0"/>
        <w:spacing w:line="560" w:lineRule="exact"/>
        <w:ind w:firstLine="480" w:firstLineChars="200"/>
        <w:jc w:val="left"/>
        <w:rPr>
          <w:rFonts w:hint="eastAsia" w:ascii="微软雅黑" w:hAnsi="宋体" w:eastAsia="宋体"/>
          <w:color w:val="auto"/>
          <w:sz w:val="24"/>
          <w:szCs w:val="24"/>
          <w:highlight w:val="none"/>
          <w:lang w:eastAsia="zh-CN"/>
        </w:rPr>
      </w:pPr>
      <w:r>
        <w:rPr>
          <w:rFonts w:hAnsi="宋体"/>
          <w:color w:val="auto"/>
          <w:sz w:val="24"/>
          <w:highlight w:val="none"/>
        </w:rPr>
        <w:t>2.</w:t>
      </w:r>
      <w:r>
        <w:rPr>
          <w:rFonts w:hint="eastAsia" w:hAnsi="宋体"/>
          <w:b/>
          <w:bCs/>
          <w:color w:val="auto"/>
          <w:sz w:val="24"/>
          <w:highlight w:val="none"/>
          <w:lang w:val="en-US" w:eastAsia="zh-CN"/>
        </w:rPr>
        <w:t>以上业绩</w:t>
      </w:r>
      <w:r>
        <w:rPr>
          <w:rFonts w:hint="eastAsia" w:hAnsi="宋体"/>
          <w:b/>
          <w:bCs/>
          <w:color w:val="auto"/>
          <w:sz w:val="24"/>
          <w:highlight w:val="none"/>
        </w:rPr>
        <w:t>需提供合同复印件</w:t>
      </w:r>
      <w:r>
        <w:rPr>
          <w:rFonts w:hint="eastAsia" w:hAnsi="宋体"/>
          <w:b/>
          <w:bCs/>
          <w:color w:val="auto"/>
          <w:sz w:val="24"/>
          <w:highlight w:val="none"/>
          <w:lang w:val="en-US" w:eastAsia="zh-CN"/>
        </w:rPr>
        <w:t>并加盖单位公章</w:t>
      </w:r>
      <w:r>
        <w:rPr>
          <w:rFonts w:hint="eastAsia" w:hAnsi="宋体"/>
          <w:b/>
          <w:bCs/>
          <w:color w:val="auto"/>
          <w:sz w:val="24"/>
          <w:highlight w:val="none"/>
          <w:lang w:eastAsia="zh-CN"/>
        </w:rPr>
        <w:t>。</w:t>
      </w:r>
    </w:p>
    <w:p w14:paraId="03186E87">
      <w:pPr>
        <w:pageBreakBefore w:val="0"/>
        <w:shd w:val="clear" w:color="auto" w:fill="auto"/>
        <w:overflowPunct/>
        <w:topLinePunct w:val="0"/>
        <w:bidi w:val="0"/>
        <w:spacing w:line="560" w:lineRule="exact"/>
        <w:jc w:val="center"/>
        <w:rPr>
          <w:rFonts w:hAnsi="宋体"/>
          <w:color w:val="auto"/>
          <w:sz w:val="24"/>
          <w:highlight w:val="none"/>
        </w:rPr>
      </w:pPr>
    </w:p>
    <w:p w14:paraId="6F893970">
      <w:pPr>
        <w:pStyle w:val="2"/>
        <w:rPr>
          <w:rFonts w:hAnsi="宋体"/>
          <w:color w:val="auto"/>
          <w:sz w:val="24"/>
          <w:highlight w:val="none"/>
        </w:rPr>
      </w:pPr>
    </w:p>
    <w:p w14:paraId="0B072404">
      <w:pPr>
        <w:pStyle w:val="3"/>
        <w:rPr>
          <w:rFonts w:hAnsi="宋体"/>
          <w:color w:val="auto"/>
          <w:sz w:val="24"/>
          <w:highlight w:val="none"/>
        </w:rPr>
      </w:pPr>
    </w:p>
    <w:p w14:paraId="4516AD59">
      <w:pPr>
        <w:pStyle w:val="4"/>
        <w:rPr>
          <w:rFonts w:hAnsi="宋体"/>
          <w:color w:val="auto"/>
          <w:sz w:val="24"/>
          <w:highlight w:val="none"/>
        </w:rPr>
      </w:pPr>
    </w:p>
    <w:p w14:paraId="0874F744">
      <w:pPr>
        <w:pStyle w:val="4"/>
        <w:rPr>
          <w:rFonts w:hAnsi="宋体"/>
          <w:color w:val="auto"/>
          <w:sz w:val="24"/>
          <w:highlight w:val="none"/>
        </w:rPr>
      </w:pPr>
    </w:p>
    <w:p w14:paraId="5F2825CA">
      <w:pPr>
        <w:pStyle w:val="4"/>
        <w:rPr>
          <w:rFonts w:hAnsi="宋体"/>
          <w:color w:val="auto"/>
          <w:sz w:val="24"/>
          <w:highlight w:val="none"/>
        </w:rPr>
      </w:pPr>
    </w:p>
    <w:p w14:paraId="7396FD29">
      <w:pPr>
        <w:pStyle w:val="4"/>
        <w:rPr>
          <w:rFonts w:hAnsi="宋体"/>
          <w:color w:val="auto"/>
          <w:sz w:val="24"/>
          <w:highlight w:val="none"/>
        </w:rPr>
      </w:pPr>
    </w:p>
    <w:p w14:paraId="7829C130">
      <w:pPr>
        <w:pStyle w:val="4"/>
        <w:rPr>
          <w:rFonts w:hint="eastAsia"/>
        </w:rPr>
      </w:pPr>
    </w:p>
    <w:p w14:paraId="002BA13B">
      <w:pPr>
        <w:spacing w:line="360" w:lineRule="auto"/>
        <w:ind w:firstLine="480" w:firstLineChars="200"/>
        <w:jc w:val="left"/>
        <w:rPr>
          <w:sz w:val="24"/>
        </w:rPr>
      </w:pPr>
      <w:r>
        <w:rPr>
          <w:rFonts w:hint="eastAsia"/>
          <w:sz w:val="24"/>
        </w:rPr>
        <w:t>供应商名称：XXX（盖单位公章）</w:t>
      </w:r>
    </w:p>
    <w:p w14:paraId="11A20B9F">
      <w:pPr>
        <w:spacing w:line="360" w:lineRule="auto"/>
        <w:ind w:firstLine="480" w:firstLineChars="200"/>
        <w:jc w:val="left"/>
        <w:rPr>
          <w:sz w:val="24"/>
        </w:rPr>
      </w:pPr>
      <w:r>
        <w:rPr>
          <w:rFonts w:hint="eastAsia"/>
          <w:sz w:val="24"/>
        </w:rPr>
        <w:t>法定代表人或授权代表（签字或盖章）：XXX</w:t>
      </w:r>
    </w:p>
    <w:p w14:paraId="137424E7">
      <w:pPr>
        <w:pStyle w:val="4"/>
        <w:rPr>
          <w:rFonts w:hAnsi="宋体"/>
          <w:color w:val="auto"/>
          <w:sz w:val="24"/>
          <w:highlight w:val="none"/>
        </w:rPr>
      </w:pPr>
      <w:r>
        <w:rPr>
          <w:rFonts w:hint="eastAsia"/>
          <w:sz w:val="24"/>
        </w:rPr>
        <w:t>日期：XXX年XXX月XXX日</w:t>
      </w:r>
      <w:r>
        <w:rPr>
          <w:rFonts w:hint="eastAsia" w:ascii="方正仿宋简体" w:hAnsi="方正仿宋简体" w:eastAsia="方正仿宋简体" w:cs="方正仿宋简体"/>
          <w:b/>
          <w:bCs/>
          <w:sz w:val="28"/>
          <w:szCs w:val="21"/>
        </w:rPr>
        <w:br w:type="page"/>
      </w:r>
    </w:p>
    <w:p w14:paraId="20BBD0BF">
      <w:pPr>
        <w:pStyle w:val="2"/>
        <w:numPr>
          <w:ilvl w:val="0"/>
          <w:numId w:val="0"/>
        </w:numPr>
        <w:rPr>
          <w:rFonts w:hint="default"/>
          <w:lang w:val="en-US" w:eastAsia="zh-CN"/>
        </w:rPr>
      </w:pP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5FCE2036">
      <w:pPr>
        <w:pStyle w:val="6"/>
        <w:spacing w:line="360" w:lineRule="auto"/>
        <w:jc w:val="center"/>
        <w:rPr>
          <w:highlight w:val="none"/>
        </w:rPr>
      </w:pPr>
      <w:bookmarkStart w:id="801" w:name="_Toc1967"/>
      <w:bookmarkStart w:id="802" w:name="_Toc17335"/>
      <w:bookmarkStart w:id="803" w:name="_Toc8858"/>
      <w:bookmarkStart w:id="804" w:name="_Toc12028"/>
      <w:bookmarkStart w:id="805" w:name="_Toc17256"/>
      <w:bookmarkStart w:id="806" w:name="_Toc9862"/>
      <w:bookmarkStart w:id="807" w:name="_Toc18248"/>
      <w:bookmarkStart w:id="808" w:name="_Toc17354"/>
      <w:bookmarkStart w:id="809" w:name="_Toc32212"/>
      <w:bookmarkStart w:id="810" w:name="_Toc21172"/>
      <w:bookmarkStart w:id="811" w:name="_Toc15453"/>
      <w:bookmarkStart w:id="812" w:name="_Toc6211"/>
      <w:bookmarkStart w:id="813" w:name="_Toc16054"/>
      <w:bookmarkStart w:id="814" w:name="_Toc4808"/>
      <w:bookmarkStart w:id="815" w:name="_Toc28073"/>
      <w:bookmarkStart w:id="816" w:name="_Toc12593"/>
      <w:bookmarkStart w:id="817" w:name="_Toc14635"/>
      <w:bookmarkStart w:id="818" w:name="_Toc19196"/>
      <w:bookmarkStart w:id="819" w:name="_Toc29411"/>
      <w:bookmarkStart w:id="820" w:name="_Toc10985"/>
      <w:bookmarkStart w:id="821" w:name="_Toc28122"/>
      <w:bookmarkStart w:id="822" w:name="_Toc6657"/>
      <w:bookmarkStart w:id="823" w:name="_Toc7195"/>
      <w:bookmarkStart w:id="824" w:name="_Toc29580"/>
      <w:bookmarkStart w:id="825" w:name="_Toc2817"/>
      <w:bookmarkStart w:id="826" w:name="_Toc29603"/>
      <w:bookmarkStart w:id="827" w:name="_Toc13811"/>
      <w:bookmarkStart w:id="828" w:name="_Toc12396"/>
      <w:bookmarkStart w:id="829" w:name="_Toc16478"/>
      <w:r>
        <w:rPr>
          <w:rFonts w:hint="eastAsia"/>
          <w:highlight w:val="none"/>
          <w:lang w:val="en-US" w:eastAsia="zh-CN"/>
        </w:rPr>
        <w:t>七</w:t>
      </w:r>
      <w:r>
        <w:rPr>
          <w:rFonts w:hint="eastAsia"/>
          <w:highlight w:val="none"/>
        </w:rPr>
        <w:t>、</w:t>
      </w:r>
      <w:bookmarkEnd w:id="801"/>
      <w:bookmarkEnd w:id="802"/>
      <w:bookmarkEnd w:id="803"/>
      <w:bookmarkEnd w:id="804"/>
      <w:bookmarkEnd w:id="805"/>
      <w:bookmarkEnd w:id="806"/>
      <w:bookmarkEnd w:id="807"/>
      <w:bookmarkEnd w:id="808"/>
      <w:bookmarkEnd w:id="809"/>
      <w:r>
        <w:rPr>
          <w:rFonts w:hint="eastAsia"/>
          <w:highlight w:val="none"/>
        </w:rPr>
        <w:t>供应商本项目拟派管理及技术人员情况表</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bookmarkEnd w:id="828"/>
    <w:bookmarkEnd w:id="829"/>
    <w:p w14:paraId="6F4B21F8">
      <w:pPr>
        <w:spacing w:line="360" w:lineRule="auto"/>
        <w:rPr>
          <w:rFonts w:ascii="宋体" w:hAnsi="宋体" w:cs="宋体"/>
          <w:sz w:val="32"/>
          <w:szCs w:val="32"/>
          <w:highlight w:val="none"/>
        </w:rPr>
      </w:pPr>
    </w:p>
    <w:tbl>
      <w:tblPr>
        <w:tblStyle w:val="18"/>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432"/>
        <w:gridCol w:w="945"/>
        <w:gridCol w:w="952"/>
        <w:gridCol w:w="1047"/>
        <w:gridCol w:w="1196"/>
        <w:gridCol w:w="1305"/>
        <w:gridCol w:w="1697"/>
      </w:tblGrid>
      <w:tr w14:paraId="5C24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8" w:type="dxa"/>
            <w:vMerge w:val="restart"/>
            <w:noWrap w:val="0"/>
            <w:vAlign w:val="center"/>
          </w:tcPr>
          <w:p w14:paraId="4157DA6C">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432" w:type="dxa"/>
            <w:vMerge w:val="restart"/>
            <w:noWrap w:val="0"/>
            <w:vAlign w:val="center"/>
          </w:tcPr>
          <w:p w14:paraId="785A752D">
            <w:pPr>
              <w:spacing w:line="360" w:lineRule="auto"/>
              <w:jc w:val="center"/>
              <w:rPr>
                <w:rFonts w:ascii="宋体" w:hAnsi="宋体" w:cs="宋体"/>
                <w:sz w:val="24"/>
                <w:highlight w:val="none"/>
              </w:rPr>
            </w:pPr>
            <w:r>
              <w:rPr>
                <w:rFonts w:hint="eastAsia" w:ascii="宋体" w:hAnsi="宋体" w:cs="宋体"/>
                <w:sz w:val="24"/>
                <w:highlight w:val="none"/>
              </w:rPr>
              <w:t>职务</w:t>
            </w:r>
          </w:p>
        </w:tc>
        <w:tc>
          <w:tcPr>
            <w:tcW w:w="945" w:type="dxa"/>
            <w:vMerge w:val="restart"/>
            <w:noWrap w:val="0"/>
            <w:vAlign w:val="center"/>
          </w:tcPr>
          <w:p w14:paraId="069BC158">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952" w:type="dxa"/>
            <w:vMerge w:val="restart"/>
            <w:noWrap w:val="0"/>
            <w:vAlign w:val="center"/>
          </w:tcPr>
          <w:p w14:paraId="1098BE31">
            <w:pPr>
              <w:spacing w:line="360" w:lineRule="auto"/>
              <w:jc w:val="center"/>
              <w:rPr>
                <w:rFonts w:ascii="宋体" w:hAnsi="宋体" w:cs="宋体"/>
                <w:sz w:val="24"/>
                <w:highlight w:val="none"/>
              </w:rPr>
            </w:pPr>
            <w:r>
              <w:rPr>
                <w:rFonts w:hint="eastAsia" w:ascii="宋体" w:hAnsi="宋体" w:cs="宋体"/>
                <w:sz w:val="24"/>
                <w:highlight w:val="none"/>
              </w:rPr>
              <w:t>职称</w:t>
            </w:r>
          </w:p>
        </w:tc>
        <w:tc>
          <w:tcPr>
            <w:tcW w:w="5245" w:type="dxa"/>
            <w:gridSpan w:val="4"/>
            <w:noWrap w:val="0"/>
            <w:vAlign w:val="center"/>
          </w:tcPr>
          <w:p w14:paraId="15AE9912">
            <w:pPr>
              <w:spacing w:line="360" w:lineRule="auto"/>
              <w:jc w:val="center"/>
              <w:rPr>
                <w:rFonts w:ascii="宋体" w:hAnsi="宋体" w:cs="宋体"/>
                <w:sz w:val="24"/>
                <w:highlight w:val="none"/>
              </w:rPr>
            </w:pPr>
            <w:r>
              <w:rPr>
                <w:rFonts w:hint="eastAsia" w:ascii="宋体" w:hAnsi="宋体" w:cs="宋体"/>
                <w:sz w:val="24"/>
                <w:highlight w:val="none"/>
              </w:rPr>
              <w:t>执业或职业资格证明（附复印件）</w:t>
            </w:r>
          </w:p>
        </w:tc>
      </w:tr>
      <w:tr w14:paraId="38BC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58" w:type="dxa"/>
            <w:vMerge w:val="continue"/>
            <w:noWrap w:val="0"/>
            <w:vAlign w:val="center"/>
          </w:tcPr>
          <w:p w14:paraId="6818A297">
            <w:pPr>
              <w:spacing w:line="360" w:lineRule="auto"/>
              <w:jc w:val="center"/>
              <w:rPr>
                <w:rFonts w:ascii="宋体" w:hAnsi="宋体" w:cs="宋体"/>
                <w:sz w:val="24"/>
                <w:highlight w:val="none"/>
              </w:rPr>
            </w:pPr>
          </w:p>
        </w:tc>
        <w:tc>
          <w:tcPr>
            <w:tcW w:w="1432" w:type="dxa"/>
            <w:vMerge w:val="continue"/>
            <w:noWrap w:val="0"/>
            <w:vAlign w:val="center"/>
          </w:tcPr>
          <w:p w14:paraId="766F4945">
            <w:pPr>
              <w:spacing w:line="360" w:lineRule="auto"/>
              <w:jc w:val="center"/>
              <w:rPr>
                <w:rFonts w:ascii="宋体" w:hAnsi="宋体" w:cs="宋体"/>
                <w:sz w:val="24"/>
                <w:highlight w:val="none"/>
              </w:rPr>
            </w:pPr>
          </w:p>
        </w:tc>
        <w:tc>
          <w:tcPr>
            <w:tcW w:w="945" w:type="dxa"/>
            <w:vMerge w:val="continue"/>
            <w:noWrap w:val="0"/>
            <w:vAlign w:val="center"/>
          </w:tcPr>
          <w:p w14:paraId="3D266929">
            <w:pPr>
              <w:spacing w:line="360" w:lineRule="auto"/>
              <w:jc w:val="center"/>
              <w:rPr>
                <w:rFonts w:ascii="宋体" w:hAnsi="宋体" w:cs="宋体"/>
                <w:sz w:val="24"/>
                <w:highlight w:val="none"/>
              </w:rPr>
            </w:pPr>
          </w:p>
        </w:tc>
        <w:tc>
          <w:tcPr>
            <w:tcW w:w="952" w:type="dxa"/>
            <w:vMerge w:val="continue"/>
            <w:noWrap w:val="0"/>
            <w:vAlign w:val="center"/>
          </w:tcPr>
          <w:p w14:paraId="2E8CA6B8">
            <w:pPr>
              <w:spacing w:line="360" w:lineRule="auto"/>
              <w:jc w:val="center"/>
              <w:rPr>
                <w:rFonts w:ascii="宋体" w:hAnsi="宋体" w:cs="宋体"/>
                <w:sz w:val="24"/>
                <w:highlight w:val="none"/>
              </w:rPr>
            </w:pPr>
          </w:p>
        </w:tc>
        <w:tc>
          <w:tcPr>
            <w:tcW w:w="1047" w:type="dxa"/>
            <w:noWrap w:val="0"/>
            <w:vAlign w:val="center"/>
          </w:tcPr>
          <w:p w14:paraId="2BEEA520">
            <w:pPr>
              <w:spacing w:line="360" w:lineRule="auto"/>
              <w:jc w:val="center"/>
              <w:rPr>
                <w:rFonts w:ascii="宋体" w:hAnsi="宋体" w:cs="宋体"/>
                <w:sz w:val="24"/>
                <w:highlight w:val="none"/>
              </w:rPr>
            </w:pPr>
            <w:r>
              <w:rPr>
                <w:rFonts w:hint="eastAsia" w:ascii="宋体" w:hAnsi="宋体" w:cs="宋体"/>
                <w:sz w:val="24"/>
                <w:highlight w:val="none"/>
              </w:rPr>
              <w:t>证书</w:t>
            </w:r>
          </w:p>
          <w:p w14:paraId="40F16353">
            <w:pPr>
              <w:spacing w:line="360" w:lineRule="auto"/>
              <w:jc w:val="center"/>
              <w:rPr>
                <w:rFonts w:ascii="宋体" w:hAnsi="宋体" w:cs="宋体"/>
                <w:sz w:val="24"/>
                <w:highlight w:val="none"/>
              </w:rPr>
            </w:pPr>
            <w:r>
              <w:rPr>
                <w:rFonts w:hint="eastAsia" w:ascii="宋体" w:hAnsi="宋体" w:cs="宋体"/>
                <w:sz w:val="24"/>
                <w:highlight w:val="none"/>
              </w:rPr>
              <w:t>名称</w:t>
            </w:r>
          </w:p>
        </w:tc>
        <w:tc>
          <w:tcPr>
            <w:tcW w:w="1196" w:type="dxa"/>
            <w:noWrap w:val="0"/>
            <w:vAlign w:val="center"/>
          </w:tcPr>
          <w:p w14:paraId="4859B346">
            <w:pPr>
              <w:spacing w:line="360" w:lineRule="auto"/>
              <w:jc w:val="center"/>
              <w:rPr>
                <w:rFonts w:ascii="宋体" w:hAnsi="宋体" w:cs="宋体"/>
                <w:sz w:val="24"/>
                <w:highlight w:val="none"/>
              </w:rPr>
            </w:pPr>
            <w:r>
              <w:rPr>
                <w:rFonts w:hint="eastAsia" w:ascii="宋体" w:hAnsi="宋体" w:cs="宋体"/>
                <w:sz w:val="24"/>
                <w:highlight w:val="none"/>
              </w:rPr>
              <w:t>级别</w:t>
            </w:r>
          </w:p>
        </w:tc>
        <w:tc>
          <w:tcPr>
            <w:tcW w:w="1305" w:type="dxa"/>
            <w:noWrap w:val="0"/>
            <w:vAlign w:val="center"/>
          </w:tcPr>
          <w:p w14:paraId="445EE2D9">
            <w:pPr>
              <w:spacing w:line="360" w:lineRule="auto"/>
              <w:jc w:val="center"/>
              <w:rPr>
                <w:rFonts w:ascii="宋体" w:hAnsi="宋体" w:cs="宋体"/>
                <w:sz w:val="24"/>
                <w:highlight w:val="none"/>
              </w:rPr>
            </w:pPr>
            <w:r>
              <w:rPr>
                <w:rFonts w:hint="eastAsia" w:ascii="宋体" w:hAnsi="宋体" w:cs="宋体"/>
                <w:sz w:val="24"/>
                <w:highlight w:val="none"/>
              </w:rPr>
              <w:t>证号</w:t>
            </w:r>
          </w:p>
        </w:tc>
        <w:tc>
          <w:tcPr>
            <w:tcW w:w="1697" w:type="dxa"/>
            <w:noWrap w:val="0"/>
            <w:vAlign w:val="center"/>
          </w:tcPr>
          <w:p w14:paraId="7700B802">
            <w:pPr>
              <w:spacing w:line="360" w:lineRule="auto"/>
              <w:jc w:val="center"/>
              <w:rPr>
                <w:rFonts w:ascii="宋体" w:hAnsi="宋体" w:cs="宋体"/>
                <w:sz w:val="24"/>
                <w:highlight w:val="none"/>
              </w:rPr>
            </w:pPr>
            <w:r>
              <w:rPr>
                <w:rFonts w:hint="eastAsia" w:ascii="宋体" w:hAnsi="宋体" w:cs="宋体"/>
                <w:sz w:val="24"/>
                <w:highlight w:val="none"/>
              </w:rPr>
              <w:t>专业</w:t>
            </w:r>
          </w:p>
        </w:tc>
      </w:tr>
      <w:tr w14:paraId="22E3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58" w:type="dxa"/>
            <w:noWrap w:val="0"/>
            <w:vAlign w:val="center"/>
          </w:tcPr>
          <w:p w14:paraId="0C68F928">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32" w:type="dxa"/>
            <w:noWrap w:val="0"/>
            <w:vAlign w:val="center"/>
          </w:tcPr>
          <w:p w14:paraId="4FFCA3F1">
            <w:pPr>
              <w:shd w:val="clear" w:color="auto" w:fill="auto"/>
              <w:jc w:val="center"/>
              <w:rPr>
                <w:rFonts w:ascii="宋体" w:hAnsi="宋体" w:cs="宋体"/>
                <w:sz w:val="24"/>
                <w:highlight w:val="none"/>
              </w:rPr>
            </w:pPr>
          </w:p>
        </w:tc>
        <w:tc>
          <w:tcPr>
            <w:tcW w:w="945" w:type="dxa"/>
            <w:noWrap w:val="0"/>
            <w:vAlign w:val="top"/>
          </w:tcPr>
          <w:p w14:paraId="49168113">
            <w:pPr>
              <w:spacing w:line="360" w:lineRule="auto"/>
              <w:rPr>
                <w:rFonts w:ascii="宋体" w:hAnsi="宋体" w:cs="宋体"/>
                <w:sz w:val="24"/>
                <w:highlight w:val="none"/>
              </w:rPr>
            </w:pPr>
          </w:p>
        </w:tc>
        <w:tc>
          <w:tcPr>
            <w:tcW w:w="952" w:type="dxa"/>
            <w:noWrap w:val="0"/>
            <w:vAlign w:val="top"/>
          </w:tcPr>
          <w:p w14:paraId="6F4E5FA6">
            <w:pPr>
              <w:spacing w:line="360" w:lineRule="auto"/>
              <w:rPr>
                <w:rFonts w:ascii="宋体" w:hAnsi="宋体" w:cs="宋体"/>
                <w:sz w:val="24"/>
                <w:highlight w:val="none"/>
              </w:rPr>
            </w:pPr>
          </w:p>
        </w:tc>
        <w:tc>
          <w:tcPr>
            <w:tcW w:w="1047" w:type="dxa"/>
            <w:noWrap w:val="0"/>
            <w:vAlign w:val="top"/>
          </w:tcPr>
          <w:p w14:paraId="158EAF58">
            <w:pPr>
              <w:spacing w:line="360" w:lineRule="auto"/>
              <w:rPr>
                <w:rFonts w:ascii="宋体" w:hAnsi="宋体" w:cs="宋体"/>
                <w:sz w:val="24"/>
                <w:highlight w:val="none"/>
              </w:rPr>
            </w:pPr>
          </w:p>
        </w:tc>
        <w:tc>
          <w:tcPr>
            <w:tcW w:w="1196" w:type="dxa"/>
            <w:noWrap w:val="0"/>
            <w:vAlign w:val="top"/>
          </w:tcPr>
          <w:p w14:paraId="2715681C">
            <w:pPr>
              <w:spacing w:line="360" w:lineRule="auto"/>
              <w:rPr>
                <w:rFonts w:ascii="宋体" w:hAnsi="宋体" w:cs="宋体"/>
                <w:sz w:val="24"/>
                <w:highlight w:val="none"/>
              </w:rPr>
            </w:pPr>
          </w:p>
        </w:tc>
        <w:tc>
          <w:tcPr>
            <w:tcW w:w="1305" w:type="dxa"/>
            <w:noWrap w:val="0"/>
            <w:vAlign w:val="top"/>
          </w:tcPr>
          <w:p w14:paraId="02984433">
            <w:pPr>
              <w:spacing w:line="360" w:lineRule="auto"/>
              <w:rPr>
                <w:rFonts w:ascii="宋体" w:hAnsi="宋体" w:cs="宋体"/>
                <w:sz w:val="24"/>
                <w:highlight w:val="none"/>
              </w:rPr>
            </w:pPr>
          </w:p>
        </w:tc>
        <w:tc>
          <w:tcPr>
            <w:tcW w:w="1697" w:type="dxa"/>
            <w:noWrap w:val="0"/>
            <w:vAlign w:val="top"/>
          </w:tcPr>
          <w:p w14:paraId="7E7D62DF">
            <w:pPr>
              <w:spacing w:line="360" w:lineRule="auto"/>
              <w:rPr>
                <w:rFonts w:ascii="宋体" w:hAnsi="宋体" w:cs="宋体"/>
                <w:sz w:val="24"/>
                <w:highlight w:val="none"/>
              </w:rPr>
            </w:pPr>
          </w:p>
        </w:tc>
      </w:tr>
      <w:tr w14:paraId="55E7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58" w:type="dxa"/>
            <w:noWrap w:val="0"/>
            <w:vAlign w:val="center"/>
          </w:tcPr>
          <w:p w14:paraId="057D4ED6">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32" w:type="dxa"/>
            <w:noWrap w:val="0"/>
            <w:vAlign w:val="center"/>
          </w:tcPr>
          <w:p w14:paraId="66F5AFD5">
            <w:pPr>
              <w:shd w:val="clear" w:color="auto" w:fill="auto"/>
              <w:jc w:val="center"/>
              <w:rPr>
                <w:rFonts w:ascii="宋体" w:hAnsi="宋体" w:cs="宋体"/>
                <w:sz w:val="24"/>
                <w:highlight w:val="none"/>
              </w:rPr>
            </w:pPr>
          </w:p>
        </w:tc>
        <w:tc>
          <w:tcPr>
            <w:tcW w:w="945" w:type="dxa"/>
            <w:noWrap w:val="0"/>
            <w:vAlign w:val="top"/>
          </w:tcPr>
          <w:p w14:paraId="7855C605">
            <w:pPr>
              <w:spacing w:line="360" w:lineRule="auto"/>
              <w:rPr>
                <w:rFonts w:ascii="宋体" w:hAnsi="宋体" w:cs="宋体"/>
                <w:sz w:val="24"/>
                <w:highlight w:val="none"/>
              </w:rPr>
            </w:pPr>
          </w:p>
        </w:tc>
        <w:tc>
          <w:tcPr>
            <w:tcW w:w="952" w:type="dxa"/>
            <w:noWrap w:val="0"/>
            <w:vAlign w:val="top"/>
          </w:tcPr>
          <w:p w14:paraId="33CEC041">
            <w:pPr>
              <w:spacing w:line="360" w:lineRule="auto"/>
              <w:rPr>
                <w:rFonts w:ascii="宋体" w:hAnsi="宋体" w:cs="宋体"/>
                <w:sz w:val="24"/>
                <w:highlight w:val="none"/>
              </w:rPr>
            </w:pPr>
          </w:p>
        </w:tc>
        <w:tc>
          <w:tcPr>
            <w:tcW w:w="1047" w:type="dxa"/>
            <w:noWrap w:val="0"/>
            <w:vAlign w:val="top"/>
          </w:tcPr>
          <w:p w14:paraId="1AED7641">
            <w:pPr>
              <w:spacing w:line="360" w:lineRule="auto"/>
              <w:rPr>
                <w:rFonts w:ascii="宋体" w:hAnsi="宋体" w:cs="宋体"/>
                <w:sz w:val="24"/>
                <w:highlight w:val="none"/>
              </w:rPr>
            </w:pPr>
          </w:p>
        </w:tc>
        <w:tc>
          <w:tcPr>
            <w:tcW w:w="1196" w:type="dxa"/>
            <w:noWrap w:val="0"/>
            <w:vAlign w:val="top"/>
          </w:tcPr>
          <w:p w14:paraId="685F4713">
            <w:pPr>
              <w:spacing w:line="360" w:lineRule="auto"/>
              <w:rPr>
                <w:rFonts w:ascii="宋体" w:hAnsi="宋体" w:cs="宋体"/>
                <w:sz w:val="24"/>
                <w:highlight w:val="none"/>
              </w:rPr>
            </w:pPr>
          </w:p>
        </w:tc>
        <w:tc>
          <w:tcPr>
            <w:tcW w:w="1305" w:type="dxa"/>
            <w:noWrap w:val="0"/>
            <w:vAlign w:val="top"/>
          </w:tcPr>
          <w:p w14:paraId="45790945">
            <w:pPr>
              <w:spacing w:line="360" w:lineRule="auto"/>
              <w:rPr>
                <w:rFonts w:ascii="宋体" w:hAnsi="宋体" w:cs="宋体"/>
                <w:sz w:val="24"/>
                <w:highlight w:val="none"/>
              </w:rPr>
            </w:pPr>
          </w:p>
        </w:tc>
        <w:tc>
          <w:tcPr>
            <w:tcW w:w="1697" w:type="dxa"/>
            <w:noWrap w:val="0"/>
            <w:vAlign w:val="top"/>
          </w:tcPr>
          <w:p w14:paraId="0AB60C91">
            <w:pPr>
              <w:spacing w:line="360" w:lineRule="auto"/>
              <w:rPr>
                <w:rFonts w:ascii="宋体" w:hAnsi="宋体" w:cs="宋体"/>
                <w:sz w:val="24"/>
                <w:highlight w:val="none"/>
              </w:rPr>
            </w:pPr>
          </w:p>
        </w:tc>
      </w:tr>
      <w:tr w14:paraId="7DFA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58" w:type="dxa"/>
            <w:noWrap w:val="0"/>
            <w:vAlign w:val="center"/>
          </w:tcPr>
          <w:p w14:paraId="0FD6AA33">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432" w:type="dxa"/>
            <w:noWrap w:val="0"/>
            <w:vAlign w:val="center"/>
          </w:tcPr>
          <w:p w14:paraId="7F76E030">
            <w:pPr>
              <w:shd w:val="clear" w:color="auto" w:fill="auto"/>
              <w:jc w:val="center"/>
              <w:rPr>
                <w:rFonts w:ascii="宋体" w:hAnsi="宋体" w:cs="宋体"/>
                <w:highlight w:val="none"/>
              </w:rPr>
            </w:pPr>
          </w:p>
        </w:tc>
        <w:tc>
          <w:tcPr>
            <w:tcW w:w="945" w:type="dxa"/>
            <w:noWrap w:val="0"/>
            <w:vAlign w:val="top"/>
          </w:tcPr>
          <w:p w14:paraId="50E0C32D">
            <w:pPr>
              <w:spacing w:line="360" w:lineRule="auto"/>
              <w:rPr>
                <w:rFonts w:ascii="宋体" w:hAnsi="宋体" w:cs="宋体"/>
                <w:sz w:val="24"/>
                <w:highlight w:val="none"/>
              </w:rPr>
            </w:pPr>
          </w:p>
        </w:tc>
        <w:tc>
          <w:tcPr>
            <w:tcW w:w="952" w:type="dxa"/>
            <w:noWrap w:val="0"/>
            <w:vAlign w:val="top"/>
          </w:tcPr>
          <w:p w14:paraId="7FD4CF7F">
            <w:pPr>
              <w:spacing w:line="360" w:lineRule="auto"/>
              <w:rPr>
                <w:rFonts w:ascii="宋体" w:hAnsi="宋体" w:cs="宋体"/>
                <w:sz w:val="24"/>
                <w:highlight w:val="none"/>
              </w:rPr>
            </w:pPr>
          </w:p>
        </w:tc>
        <w:tc>
          <w:tcPr>
            <w:tcW w:w="1047" w:type="dxa"/>
            <w:noWrap w:val="0"/>
            <w:vAlign w:val="top"/>
          </w:tcPr>
          <w:p w14:paraId="23D893E2">
            <w:pPr>
              <w:spacing w:line="360" w:lineRule="auto"/>
              <w:rPr>
                <w:rFonts w:ascii="宋体" w:hAnsi="宋体" w:cs="宋体"/>
                <w:sz w:val="24"/>
                <w:highlight w:val="none"/>
              </w:rPr>
            </w:pPr>
          </w:p>
        </w:tc>
        <w:tc>
          <w:tcPr>
            <w:tcW w:w="1196" w:type="dxa"/>
            <w:noWrap w:val="0"/>
            <w:vAlign w:val="top"/>
          </w:tcPr>
          <w:p w14:paraId="19225231">
            <w:pPr>
              <w:spacing w:line="360" w:lineRule="auto"/>
              <w:rPr>
                <w:rFonts w:ascii="宋体" w:hAnsi="宋体" w:cs="宋体"/>
                <w:sz w:val="24"/>
                <w:highlight w:val="none"/>
              </w:rPr>
            </w:pPr>
          </w:p>
        </w:tc>
        <w:tc>
          <w:tcPr>
            <w:tcW w:w="1305" w:type="dxa"/>
            <w:noWrap w:val="0"/>
            <w:vAlign w:val="top"/>
          </w:tcPr>
          <w:p w14:paraId="141CB41B">
            <w:pPr>
              <w:spacing w:line="360" w:lineRule="auto"/>
              <w:rPr>
                <w:rFonts w:ascii="宋体" w:hAnsi="宋体" w:cs="宋体"/>
                <w:sz w:val="24"/>
                <w:highlight w:val="none"/>
              </w:rPr>
            </w:pPr>
          </w:p>
        </w:tc>
        <w:tc>
          <w:tcPr>
            <w:tcW w:w="1697" w:type="dxa"/>
            <w:noWrap w:val="0"/>
            <w:vAlign w:val="top"/>
          </w:tcPr>
          <w:p w14:paraId="3803B412">
            <w:pPr>
              <w:spacing w:line="360" w:lineRule="auto"/>
              <w:rPr>
                <w:rFonts w:ascii="宋体" w:hAnsi="宋体" w:cs="宋体"/>
                <w:sz w:val="24"/>
                <w:highlight w:val="none"/>
              </w:rPr>
            </w:pPr>
          </w:p>
        </w:tc>
      </w:tr>
      <w:tr w14:paraId="70E9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8" w:type="dxa"/>
            <w:noWrap w:val="0"/>
            <w:vAlign w:val="top"/>
          </w:tcPr>
          <w:p w14:paraId="714DA772">
            <w:pPr>
              <w:spacing w:line="360" w:lineRule="auto"/>
              <w:rPr>
                <w:rFonts w:ascii="宋体" w:hAnsi="宋体" w:cs="宋体"/>
                <w:sz w:val="24"/>
                <w:highlight w:val="none"/>
              </w:rPr>
            </w:pPr>
          </w:p>
        </w:tc>
        <w:tc>
          <w:tcPr>
            <w:tcW w:w="1432" w:type="dxa"/>
            <w:noWrap w:val="0"/>
            <w:vAlign w:val="center"/>
          </w:tcPr>
          <w:p w14:paraId="6A6878CD">
            <w:pPr>
              <w:spacing w:line="360" w:lineRule="auto"/>
              <w:jc w:val="center"/>
              <w:rPr>
                <w:rFonts w:ascii="宋体" w:hAnsi="宋体" w:cs="宋体"/>
                <w:highlight w:val="none"/>
              </w:rPr>
            </w:pPr>
          </w:p>
        </w:tc>
        <w:tc>
          <w:tcPr>
            <w:tcW w:w="945" w:type="dxa"/>
            <w:noWrap w:val="0"/>
            <w:vAlign w:val="top"/>
          </w:tcPr>
          <w:p w14:paraId="37F9AC7B">
            <w:pPr>
              <w:spacing w:line="360" w:lineRule="auto"/>
              <w:rPr>
                <w:rFonts w:ascii="宋体" w:hAnsi="宋体" w:cs="宋体"/>
                <w:sz w:val="24"/>
                <w:highlight w:val="none"/>
              </w:rPr>
            </w:pPr>
          </w:p>
        </w:tc>
        <w:tc>
          <w:tcPr>
            <w:tcW w:w="952" w:type="dxa"/>
            <w:noWrap w:val="0"/>
            <w:vAlign w:val="top"/>
          </w:tcPr>
          <w:p w14:paraId="267B1F24">
            <w:pPr>
              <w:spacing w:line="360" w:lineRule="auto"/>
              <w:rPr>
                <w:rFonts w:ascii="宋体" w:hAnsi="宋体" w:cs="宋体"/>
                <w:sz w:val="24"/>
                <w:highlight w:val="none"/>
              </w:rPr>
            </w:pPr>
          </w:p>
        </w:tc>
        <w:tc>
          <w:tcPr>
            <w:tcW w:w="1047" w:type="dxa"/>
            <w:noWrap w:val="0"/>
            <w:vAlign w:val="top"/>
          </w:tcPr>
          <w:p w14:paraId="329EBFF9">
            <w:pPr>
              <w:spacing w:line="360" w:lineRule="auto"/>
              <w:rPr>
                <w:rFonts w:ascii="宋体" w:hAnsi="宋体" w:cs="宋体"/>
                <w:sz w:val="24"/>
                <w:highlight w:val="none"/>
              </w:rPr>
            </w:pPr>
          </w:p>
        </w:tc>
        <w:tc>
          <w:tcPr>
            <w:tcW w:w="1196" w:type="dxa"/>
            <w:noWrap w:val="0"/>
            <w:vAlign w:val="top"/>
          </w:tcPr>
          <w:p w14:paraId="0E635EFC">
            <w:pPr>
              <w:spacing w:line="360" w:lineRule="auto"/>
              <w:rPr>
                <w:rFonts w:ascii="宋体" w:hAnsi="宋体" w:cs="宋体"/>
                <w:sz w:val="24"/>
                <w:highlight w:val="none"/>
              </w:rPr>
            </w:pPr>
          </w:p>
        </w:tc>
        <w:tc>
          <w:tcPr>
            <w:tcW w:w="1305" w:type="dxa"/>
            <w:noWrap w:val="0"/>
            <w:vAlign w:val="top"/>
          </w:tcPr>
          <w:p w14:paraId="21D05B57">
            <w:pPr>
              <w:spacing w:line="360" w:lineRule="auto"/>
              <w:rPr>
                <w:rFonts w:ascii="宋体" w:hAnsi="宋体" w:cs="宋体"/>
                <w:sz w:val="24"/>
                <w:highlight w:val="none"/>
              </w:rPr>
            </w:pPr>
          </w:p>
        </w:tc>
        <w:tc>
          <w:tcPr>
            <w:tcW w:w="1697" w:type="dxa"/>
            <w:noWrap w:val="0"/>
            <w:vAlign w:val="top"/>
          </w:tcPr>
          <w:p w14:paraId="1F9C587B">
            <w:pPr>
              <w:spacing w:line="360" w:lineRule="auto"/>
              <w:rPr>
                <w:rFonts w:ascii="宋体" w:hAnsi="宋体" w:cs="宋体"/>
                <w:sz w:val="24"/>
                <w:highlight w:val="none"/>
              </w:rPr>
            </w:pPr>
          </w:p>
        </w:tc>
      </w:tr>
      <w:tr w14:paraId="467D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58" w:type="dxa"/>
            <w:noWrap w:val="0"/>
            <w:vAlign w:val="top"/>
          </w:tcPr>
          <w:p w14:paraId="3BBBF4B3">
            <w:pPr>
              <w:spacing w:line="360" w:lineRule="auto"/>
              <w:rPr>
                <w:rFonts w:ascii="宋体" w:hAnsi="宋体" w:cs="宋体"/>
                <w:sz w:val="24"/>
                <w:highlight w:val="none"/>
              </w:rPr>
            </w:pPr>
          </w:p>
        </w:tc>
        <w:tc>
          <w:tcPr>
            <w:tcW w:w="1432" w:type="dxa"/>
            <w:noWrap w:val="0"/>
            <w:vAlign w:val="top"/>
          </w:tcPr>
          <w:p w14:paraId="24D5995C">
            <w:pPr>
              <w:spacing w:line="360" w:lineRule="auto"/>
              <w:rPr>
                <w:rFonts w:ascii="宋体" w:hAnsi="宋体" w:cs="宋体"/>
                <w:sz w:val="24"/>
                <w:highlight w:val="none"/>
              </w:rPr>
            </w:pPr>
          </w:p>
        </w:tc>
        <w:tc>
          <w:tcPr>
            <w:tcW w:w="945" w:type="dxa"/>
            <w:noWrap w:val="0"/>
            <w:vAlign w:val="top"/>
          </w:tcPr>
          <w:p w14:paraId="73A37774">
            <w:pPr>
              <w:spacing w:line="360" w:lineRule="auto"/>
              <w:rPr>
                <w:rFonts w:ascii="宋体" w:hAnsi="宋体" w:cs="宋体"/>
                <w:sz w:val="24"/>
                <w:highlight w:val="none"/>
              </w:rPr>
            </w:pPr>
          </w:p>
        </w:tc>
        <w:tc>
          <w:tcPr>
            <w:tcW w:w="952" w:type="dxa"/>
            <w:noWrap w:val="0"/>
            <w:vAlign w:val="top"/>
          </w:tcPr>
          <w:p w14:paraId="690B4542">
            <w:pPr>
              <w:spacing w:line="360" w:lineRule="auto"/>
              <w:rPr>
                <w:rFonts w:ascii="宋体" w:hAnsi="宋体" w:cs="宋体"/>
                <w:sz w:val="24"/>
                <w:highlight w:val="none"/>
              </w:rPr>
            </w:pPr>
          </w:p>
        </w:tc>
        <w:tc>
          <w:tcPr>
            <w:tcW w:w="1047" w:type="dxa"/>
            <w:noWrap w:val="0"/>
            <w:vAlign w:val="top"/>
          </w:tcPr>
          <w:p w14:paraId="106F2115">
            <w:pPr>
              <w:spacing w:line="360" w:lineRule="auto"/>
              <w:rPr>
                <w:rFonts w:ascii="宋体" w:hAnsi="宋体" w:cs="宋体"/>
                <w:sz w:val="24"/>
                <w:highlight w:val="none"/>
              </w:rPr>
            </w:pPr>
          </w:p>
        </w:tc>
        <w:tc>
          <w:tcPr>
            <w:tcW w:w="1196" w:type="dxa"/>
            <w:noWrap w:val="0"/>
            <w:vAlign w:val="top"/>
          </w:tcPr>
          <w:p w14:paraId="6F136783">
            <w:pPr>
              <w:spacing w:line="360" w:lineRule="auto"/>
              <w:rPr>
                <w:rFonts w:ascii="宋体" w:hAnsi="宋体" w:cs="宋体"/>
                <w:sz w:val="24"/>
                <w:highlight w:val="none"/>
              </w:rPr>
            </w:pPr>
          </w:p>
        </w:tc>
        <w:tc>
          <w:tcPr>
            <w:tcW w:w="1305" w:type="dxa"/>
            <w:noWrap w:val="0"/>
            <w:vAlign w:val="top"/>
          </w:tcPr>
          <w:p w14:paraId="6AF5A951">
            <w:pPr>
              <w:spacing w:line="360" w:lineRule="auto"/>
              <w:rPr>
                <w:rFonts w:ascii="宋体" w:hAnsi="宋体" w:cs="宋体"/>
                <w:sz w:val="24"/>
                <w:highlight w:val="none"/>
              </w:rPr>
            </w:pPr>
          </w:p>
        </w:tc>
        <w:tc>
          <w:tcPr>
            <w:tcW w:w="1697" w:type="dxa"/>
            <w:noWrap w:val="0"/>
            <w:vAlign w:val="top"/>
          </w:tcPr>
          <w:p w14:paraId="56F3F11D">
            <w:pPr>
              <w:spacing w:line="360" w:lineRule="auto"/>
              <w:rPr>
                <w:rFonts w:ascii="宋体" w:hAnsi="宋体" w:cs="宋体"/>
                <w:sz w:val="24"/>
                <w:highlight w:val="none"/>
              </w:rPr>
            </w:pPr>
          </w:p>
        </w:tc>
      </w:tr>
      <w:tr w14:paraId="346D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58" w:type="dxa"/>
            <w:noWrap w:val="0"/>
            <w:vAlign w:val="top"/>
          </w:tcPr>
          <w:p w14:paraId="67866F1F">
            <w:pPr>
              <w:spacing w:line="360" w:lineRule="auto"/>
              <w:rPr>
                <w:rFonts w:ascii="宋体" w:hAnsi="宋体" w:cs="宋体"/>
                <w:sz w:val="24"/>
                <w:highlight w:val="none"/>
              </w:rPr>
            </w:pPr>
          </w:p>
        </w:tc>
        <w:tc>
          <w:tcPr>
            <w:tcW w:w="1432" w:type="dxa"/>
            <w:noWrap w:val="0"/>
            <w:vAlign w:val="center"/>
          </w:tcPr>
          <w:p w14:paraId="78CA7562">
            <w:pPr>
              <w:spacing w:line="360" w:lineRule="auto"/>
              <w:jc w:val="center"/>
              <w:rPr>
                <w:rFonts w:hint="eastAsia" w:ascii="宋体" w:hAnsi="宋体" w:cs="宋体"/>
                <w:sz w:val="24"/>
                <w:highlight w:val="none"/>
              </w:rPr>
            </w:pPr>
            <w:r>
              <w:rPr>
                <w:rFonts w:hAnsi="宋体"/>
                <w:kern w:val="2"/>
                <w:sz w:val="24"/>
                <w:highlight w:val="none"/>
              </w:rPr>
              <w:t>…</w:t>
            </w:r>
          </w:p>
        </w:tc>
        <w:tc>
          <w:tcPr>
            <w:tcW w:w="945" w:type="dxa"/>
            <w:noWrap w:val="0"/>
            <w:vAlign w:val="top"/>
          </w:tcPr>
          <w:p w14:paraId="4B1279BF">
            <w:pPr>
              <w:spacing w:line="360" w:lineRule="auto"/>
              <w:jc w:val="center"/>
              <w:rPr>
                <w:rFonts w:ascii="宋体" w:hAnsi="宋体" w:cs="宋体"/>
                <w:sz w:val="24"/>
                <w:highlight w:val="none"/>
              </w:rPr>
            </w:pPr>
          </w:p>
        </w:tc>
        <w:tc>
          <w:tcPr>
            <w:tcW w:w="952" w:type="dxa"/>
            <w:noWrap w:val="0"/>
            <w:vAlign w:val="center"/>
          </w:tcPr>
          <w:p w14:paraId="49E84A64">
            <w:pPr>
              <w:spacing w:line="360" w:lineRule="auto"/>
              <w:jc w:val="center"/>
              <w:rPr>
                <w:rFonts w:ascii="宋体" w:hAnsi="宋体" w:cs="宋体"/>
                <w:sz w:val="24"/>
                <w:highlight w:val="none"/>
              </w:rPr>
            </w:pPr>
            <w:r>
              <w:rPr>
                <w:rFonts w:hAnsi="宋体"/>
                <w:kern w:val="2"/>
                <w:sz w:val="24"/>
                <w:highlight w:val="none"/>
              </w:rPr>
              <w:t>……</w:t>
            </w:r>
          </w:p>
        </w:tc>
        <w:tc>
          <w:tcPr>
            <w:tcW w:w="1047" w:type="dxa"/>
            <w:noWrap w:val="0"/>
            <w:vAlign w:val="top"/>
          </w:tcPr>
          <w:p w14:paraId="3A96FB26">
            <w:pPr>
              <w:spacing w:line="360" w:lineRule="auto"/>
              <w:jc w:val="center"/>
              <w:rPr>
                <w:rFonts w:ascii="宋体" w:hAnsi="宋体" w:cs="宋体"/>
                <w:sz w:val="24"/>
                <w:highlight w:val="none"/>
              </w:rPr>
            </w:pPr>
          </w:p>
        </w:tc>
        <w:tc>
          <w:tcPr>
            <w:tcW w:w="1196" w:type="dxa"/>
            <w:noWrap w:val="0"/>
            <w:vAlign w:val="top"/>
          </w:tcPr>
          <w:p w14:paraId="00E3F388">
            <w:pPr>
              <w:spacing w:line="360" w:lineRule="auto"/>
              <w:rPr>
                <w:rFonts w:ascii="宋体" w:hAnsi="宋体" w:cs="宋体"/>
                <w:sz w:val="24"/>
                <w:highlight w:val="none"/>
              </w:rPr>
            </w:pPr>
            <w:r>
              <w:rPr>
                <w:rFonts w:hAnsi="宋体"/>
                <w:kern w:val="2"/>
                <w:sz w:val="24"/>
                <w:highlight w:val="none"/>
              </w:rPr>
              <w:t>(格子不够自行添加)</w:t>
            </w:r>
          </w:p>
        </w:tc>
        <w:tc>
          <w:tcPr>
            <w:tcW w:w="1305" w:type="dxa"/>
            <w:noWrap w:val="0"/>
            <w:vAlign w:val="top"/>
          </w:tcPr>
          <w:p w14:paraId="18A32370">
            <w:pPr>
              <w:spacing w:line="360" w:lineRule="auto"/>
              <w:rPr>
                <w:rFonts w:ascii="宋体" w:hAnsi="宋体" w:cs="宋体"/>
                <w:sz w:val="24"/>
                <w:highlight w:val="none"/>
              </w:rPr>
            </w:pPr>
          </w:p>
        </w:tc>
        <w:tc>
          <w:tcPr>
            <w:tcW w:w="1697" w:type="dxa"/>
            <w:noWrap w:val="0"/>
            <w:vAlign w:val="top"/>
          </w:tcPr>
          <w:p w14:paraId="09D641B9">
            <w:pPr>
              <w:spacing w:line="360" w:lineRule="auto"/>
              <w:rPr>
                <w:rFonts w:ascii="宋体" w:hAnsi="宋体" w:cs="宋体"/>
                <w:sz w:val="24"/>
                <w:highlight w:val="none"/>
              </w:rPr>
            </w:pPr>
          </w:p>
        </w:tc>
      </w:tr>
    </w:tbl>
    <w:p w14:paraId="4F2C082C">
      <w:pPr>
        <w:spacing w:line="360" w:lineRule="auto"/>
        <w:rPr>
          <w:rFonts w:hint="eastAsia" w:ascii="宋体" w:hAnsi="宋体" w:cs="宋体"/>
          <w:sz w:val="24"/>
          <w:highlight w:val="none"/>
          <w:lang w:val="en-US" w:eastAsia="zh-CN"/>
        </w:rPr>
      </w:pPr>
    </w:p>
    <w:p w14:paraId="61BAAED0">
      <w:pPr>
        <w:numPr>
          <w:ilvl w:val="0"/>
          <w:numId w:val="0"/>
        </w:num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1、供应商根据人员配置情况进行填写，格式可调。</w:t>
      </w:r>
    </w:p>
    <w:p w14:paraId="5DA72B5F">
      <w:pPr>
        <w:spacing w:line="360" w:lineRule="auto"/>
        <w:rPr>
          <w:rFonts w:hint="default"/>
          <w:sz w:val="24"/>
          <w:szCs w:val="24"/>
          <w:highlight w:val="none"/>
          <w:lang w:val="en-US" w:eastAsia="zh-CN"/>
        </w:rPr>
      </w:pPr>
      <w:r>
        <w:rPr>
          <w:rFonts w:hint="eastAsia"/>
          <w:sz w:val="24"/>
          <w:szCs w:val="24"/>
          <w:highlight w:val="none"/>
          <w:lang w:val="en-US" w:eastAsia="zh-CN"/>
        </w:rPr>
        <w:t>2、</w:t>
      </w:r>
      <w:r>
        <w:rPr>
          <w:rFonts w:hint="eastAsia" w:ascii="宋体" w:hAnsi="宋体" w:eastAsia="宋体" w:cs="宋体"/>
          <w:b/>
          <w:bCs/>
          <w:color w:val="auto"/>
          <w:kern w:val="2"/>
          <w:sz w:val="24"/>
          <w:szCs w:val="20"/>
          <w:highlight w:val="none"/>
        </w:rPr>
        <w:t>以上人员需提供</w:t>
      </w:r>
      <w:r>
        <w:rPr>
          <w:rFonts w:hint="eastAsia" w:ascii="宋体" w:hAnsi="宋体"/>
          <w:b/>
          <w:bCs/>
          <w:color w:val="auto"/>
          <w:sz w:val="24"/>
          <w:szCs w:val="24"/>
          <w:highlight w:val="none"/>
          <w:lang w:val="en-US" w:eastAsia="zh-CN"/>
        </w:rPr>
        <w:t>资格证书等复印件</w:t>
      </w:r>
      <w:r>
        <w:rPr>
          <w:rFonts w:hint="eastAsia" w:ascii="宋体" w:hAnsi="宋体"/>
          <w:b/>
          <w:bCs/>
          <w:sz w:val="24"/>
          <w:szCs w:val="24"/>
          <w:highlight w:val="none"/>
        </w:rPr>
        <w:t>（加盖单位公章）</w:t>
      </w:r>
      <w:r>
        <w:rPr>
          <w:rFonts w:hint="eastAsia" w:ascii="宋体" w:hAnsi="宋体" w:cs="宋体"/>
          <w:sz w:val="24"/>
          <w:highlight w:val="none"/>
          <w:lang w:val="en-US" w:eastAsia="zh-CN"/>
        </w:rPr>
        <w:t>。</w:t>
      </w:r>
    </w:p>
    <w:p w14:paraId="5BF4EDE4">
      <w:pPr>
        <w:spacing w:line="360" w:lineRule="auto"/>
        <w:rPr>
          <w:rFonts w:hint="eastAsia" w:ascii="宋体" w:hAnsi="宋体"/>
          <w:sz w:val="24"/>
          <w:szCs w:val="24"/>
          <w:highlight w:val="none"/>
        </w:rPr>
      </w:pPr>
      <w:r>
        <w:rPr>
          <w:rFonts w:hint="eastAsia"/>
          <w:sz w:val="24"/>
          <w:szCs w:val="24"/>
          <w:highlight w:val="none"/>
          <w:lang w:val="en-US" w:eastAsia="zh-CN"/>
        </w:rPr>
        <w:t>3</w:t>
      </w:r>
      <w:r>
        <w:rPr>
          <w:rFonts w:hint="eastAsia"/>
          <w:sz w:val="24"/>
          <w:szCs w:val="24"/>
          <w:highlight w:val="none"/>
        </w:rPr>
        <w:t>、</w:t>
      </w:r>
      <w:r>
        <w:rPr>
          <w:rFonts w:hint="eastAsia" w:ascii="宋体" w:hAnsi="宋体"/>
          <w:sz w:val="24"/>
          <w:szCs w:val="24"/>
          <w:highlight w:val="none"/>
        </w:rPr>
        <w:t>以上人员证明材料如不实，属于弄虚作假，取消成交资格。</w:t>
      </w:r>
    </w:p>
    <w:p w14:paraId="161F8CC4">
      <w:pPr>
        <w:pageBreakBefore w:val="0"/>
        <w:shd w:val="clear" w:color="auto" w:fill="auto"/>
        <w:overflowPunct/>
        <w:topLinePunct w:val="0"/>
        <w:bidi w:val="0"/>
        <w:spacing w:line="560" w:lineRule="exact"/>
        <w:rPr>
          <w:rFonts w:hint="default" w:ascii="宋体" w:hAnsi="宋体" w:eastAsia="宋体" w:cs="宋体"/>
          <w:color w:val="auto"/>
          <w:sz w:val="24"/>
          <w:highlight w:val="none"/>
          <w:lang w:val="en-US" w:eastAsia="zh-CN"/>
        </w:rPr>
      </w:pPr>
    </w:p>
    <w:p w14:paraId="43F6C646">
      <w:pPr>
        <w:spacing w:line="360" w:lineRule="auto"/>
        <w:rPr>
          <w:rFonts w:hint="eastAsia" w:ascii="宋体" w:hAnsi="宋体" w:cs="宋体"/>
          <w:sz w:val="24"/>
          <w:highlight w:val="none"/>
        </w:rPr>
      </w:pPr>
    </w:p>
    <w:p w14:paraId="2C47E565">
      <w:pPr>
        <w:spacing w:line="360" w:lineRule="auto"/>
        <w:rPr>
          <w:rFonts w:hint="eastAsia" w:ascii="宋体" w:hAnsi="宋体" w:cs="宋体"/>
          <w:sz w:val="24"/>
          <w:highlight w:val="none"/>
        </w:rPr>
      </w:pPr>
    </w:p>
    <w:p w14:paraId="464DD380">
      <w:pPr>
        <w:spacing w:line="360" w:lineRule="auto"/>
        <w:rPr>
          <w:rFonts w:ascii="宋体" w:hAnsi="宋体" w:cs="宋体"/>
          <w:sz w:val="24"/>
          <w:highlight w:val="none"/>
        </w:rPr>
      </w:pPr>
      <w:r>
        <w:rPr>
          <w:rFonts w:hint="eastAsia" w:ascii="宋体" w:hAnsi="宋体" w:cs="宋体"/>
          <w:sz w:val="24"/>
          <w:highlight w:val="none"/>
        </w:rPr>
        <w:t>供应商名称：XXX（盖单位公章）</w:t>
      </w:r>
    </w:p>
    <w:p w14:paraId="3B1E7143">
      <w:pPr>
        <w:spacing w:line="360" w:lineRule="auto"/>
        <w:rPr>
          <w:rFonts w:ascii="宋体" w:hAnsi="宋体" w:cs="宋体"/>
          <w:sz w:val="24"/>
          <w:highlight w:val="none"/>
        </w:rPr>
      </w:pPr>
      <w:r>
        <w:rPr>
          <w:rFonts w:hint="eastAsia" w:ascii="宋体" w:hAnsi="宋体" w:cs="宋体"/>
          <w:sz w:val="24"/>
          <w:highlight w:val="none"/>
        </w:rPr>
        <w:t>法定代表人或授权代表（签字）：XXX</w:t>
      </w:r>
    </w:p>
    <w:p w14:paraId="0FDED6B5">
      <w:pPr>
        <w:spacing w:line="360" w:lineRule="auto"/>
        <w:rPr>
          <w:rFonts w:hint="eastAsia" w:ascii="华文中宋" w:hAnsi="华文中宋" w:eastAsia="华文中宋"/>
          <w:b/>
          <w:bCs/>
          <w:sz w:val="32"/>
          <w:szCs w:val="32"/>
          <w:highlight w:val="none"/>
          <w:lang w:val="en-US" w:eastAsia="zh-CN"/>
        </w:rPr>
      </w:pPr>
      <w:r>
        <w:rPr>
          <w:rFonts w:hint="eastAsia" w:ascii="宋体" w:hAnsi="宋体" w:cs="宋体"/>
          <w:sz w:val="24"/>
          <w:highlight w:val="none"/>
        </w:rPr>
        <w:t>日期：XXX</w:t>
      </w:r>
    </w:p>
    <w:p w14:paraId="6AFF087F">
      <w:pPr>
        <w:spacing w:before="240" w:beforeLines="100" w:after="240" w:afterLines="100" w:line="360" w:lineRule="auto"/>
        <w:jc w:val="center"/>
        <w:outlineLvl w:val="1"/>
        <w:rPr>
          <w:rFonts w:hint="eastAsia" w:ascii="华文中宋" w:hAnsi="华文中宋" w:eastAsia="华文中宋"/>
          <w:b/>
          <w:bCs/>
          <w:sz w:val="32"/>
          <w:szCs w:val="32"/>
          <w:highlight w:val="none"/>
          <w:lang w:val="en-US" w:eastAsia="zh-CN"/>
        </w:rPr>
      </w:pPr>
    </w:p>
    <w:p w14:paraId="51792ABA">
      <w:pPr>
        <w:spacing w:before="240" w:beforeLines="100" w:after="240" w:afterLines="100" w:line="360" w:lineRule="auto"/>
        <w:jc w:val="center"/>
        <w:outlineLvl w:val="1"/>
        <w:rPr>
          <w:rFonts w:ascii="华文中宋" w:hAnsi="华文中宋" w:eastAsia="华文中宋"/>
          <w:b/>
          <w:bCs/>
          <w:sz w:val="32"/>
          <w:szCs w:val="32"/>
          <w:highlight w:val="none"/>
        </w:rPr>
      </w:pPr>
      <w:r>
        <w:rPr>
          <w:rFonts w:hint="eastAsia" w:ascii="华文中宋" w:hAnsi="华文中宋" w:eastAsia="华文中宋"/>
          <w:b/>
          <w:bCs/>
          <w:sz w:val="32"/>
          <w:szCs w:val="32"/>
          <w:highlight w:val="none"/>
          <w:lang w:val="en-US" w:eastAsia="zh-CN"/>
        </w:rPr>
        <w:t>八</w:t>
      </w:r>
      <w:r>
        <w:rPr>
          <w:rFonts w:hint="eastAsia" w:ascii="华文中宋" w:hAnsi="华文中宋" w:eastAsia="华文中宋"/>
          <w:b/>
          <w:bCs/>
          <w:sz w:val="32"/>
          <w:szCs w:val="32"/>
          <w:highlight w:val="none"/>
        </w:rPr>
        <w:t>、商务、服务要求应答表</w:t>
      </w:r>
      <w:bookmarkEnd w:id="757"/>
    </w:p>
    <w:p w14:paraId="5F7A812D">
      <w:pPr>
        <w:spacing w:line="360" w:lineRule="auto"/>
        <w:ind w:firstLine="1675" w:firstLineChars="695"/>
        <w:rPr>
          <w:rFonts w:hint="eastAsia" w:hAnsi="宋体" w:eastAsia="宋体"/>
          <w:b/>
          <w:sz w:val="24"/>
          <w:highlight w:val="none"/>
          <w:lang w:eastAsia="zh-CN"/>
        </w:rPr>
      </w:pPr>
    </w:p>
    <w:tbl>
      <w:tblPr>
        <w:tblStyle w:val="18"/>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752"/>
        <w:gridCol w:w="2303"/>
        <w:gridCol w:w="1485"/>
      </w:tblGrid>
      <w:tr w14:paraId="129E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2" w:type="dxa"/>
            <w:noWrap w:val="0"/>
            <w:vAlign w:val="center"/>
          </w:tcPr>
          <w:p w14:paraId="5E4A80F0">
            <w:pPr>
              <w:spacing w:line="360" w:lineRule="auto"/>
              <w:jc w:val="center"/>
              <w:rPr>
                <w:rFonts w:hAnsi="宋体"/>
                <w:sz w:val="24"/>
                <w:szCs w:val="24"/>
                <w:highlight w:val="none"/>
              </w:rPr>
            </w:pPr>
            <w:r>
              <w:rPr>
                <w:rFonts w:hint="eastAsia" w:hAnsi="宋体"/>
                <w:sz w:val="24"/>
                <w:szCs w:val="24"/>
                <w:highlight w:val="none"/>
              </w:rPr>
              <w:t>序号</w:t>
            </w:r>
          </w:p>
        </w:tc>
        <w:tc>
          <w:tcPr>
            <w:tcW w:w="4752" w:type="dxa"/>
            <w:noWrap w:val="0"/>
            <w:vAlign w:val="center"/>
          </w:tcPr>
          <w:p w14:paraId="123A8DB5">
            <w:pPr>
              <w:spacing w:line="360" w:lineRule="auto"/>
              <w:jc w:val="center"/>
              <w:rPr>
                <w:rFonts w:hAnsi="宋体"/>
                <w:sz w:val="24"/>
                <w:szCs w:val="24"/>
                <w:highlight w:val="none"/>
              </w:rPr>
            </w:pPr>
            <w:r>
              <w:rPr>
                <w:rFonts w:hint="eastAsia" w:hAnsi="宋体" w:cs="宋体"/>
                <w:sz w:val="24"/>
                <w:szCs w:val="24"/>
                <w:highlight w:val="none"/>
              </w:rPr>
              <w:t>磋商文件</w:t>
            </w:r>
            <w:r>
              <w:rPr>
                <w:rFonts w:hint="eastAsia"/>
                <w:sz w:val="24"/>
                <w:szCs w:val="24"/>
                <w:highlight w:val="none"/>
              </w:rPr>
              <w:t>要求</w:t>
            </w:r>
          </w:p>
        </w:tc>
        <w:tc>
          <w:tcPr>
            <w:tcW w:w="2303" w:type="dxa"/>
            <w:noWrap w:val="0"/>
            <w:vAlign w:val="center"/>
          </w:tcPr>
          <w:p w14:paraId="2DF4C3C6">
            <w:pPr>
              <w:spacing w:line="360" w:lineRule="auto"/>
              <w:jc w:val="center"/>
              <w:rPr>
                <w:rFonts w:hAnsi="宋体"/>
                <w:sz w:val="24"/>
                <w:szCs w:val="24"/>
                <w:highlight w:val="none"/>
              </w:rPr>
            </w:pPr>
            <w:r>
              <w:rPr>
                <w:rFonts w:hint="eastAsia" w:hAnsi="宋体"/>
                <w:sz w:val="24"/>
                <w:szCs w:val="24"/>
                <w:highlight w:val="none"/>
              </w:rPr>
              <w:t>响应文件响应</w:t>
            </w:r>
          </w:p>
        </w:tc>
        <w:tc>
          <w:tcPr>
            <w:tcW w:w="1485" w:type="dxa"/>
            <w:noWrap w:val="0"/>
            <w:vAlign w:val="center"/>
          </w:tcPr>
          <w:p w14:paraId="31565F6C">
            <w:pPr>
              <w:spacing w:line="360" w:lineRule="auto"/>
              <w:jc w:val="center"/>
              <w:rPr>
                <w:rFonts w:hAnsi="宋体"/>
                <w:sz w:val="24"/>
                <w:szCs w:val="24"/>
                <w:highlight w:val="none"/>
              </w:rPr>
            </w:pPr>
            <w:r>
              <w:rPr>
                <w:rFonts w:hint="eastAsia" w:hAnsi="宋体"/>
                <w:sz w:val="24"/>
                <w:szCs w:val="24"/>
                <w:highlight w:val="none"/>
              </w:rPr>
              <w:t>备注</w:t>
            </w:r>
          </w:p>
        </w:tc>
      </w:tr>
      <w:tr w14:paraId="6128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12" w:type="dxa"/>
            <w:noWrap w:val="0"/>
            <w:vAlign w:val="center"/>
          </w:tcPr>
          <w:p w14:paraId="0260810B">
            <w:pPr>
              <w:spacing w:line="360" w:lineRule="auto"/>
              <w:jc w:val="center"/>
              <w:rPr>
                <w:rFonts w:hint="eastAsia" w:hAnsi="宋体"/>
                <w:sz w:val="24"/>
                <w:szCs w:val="24"/>
                <w:highlight w:val="none"/>
              </w:rPr>
            </w:pPr>
            <w:r>
              <w:rPr>
                <w:rFonts w:hint="eastAsia" w:hAnsi="宋体"/>
                <w:sz w:val="24"/>
                <w:szCs w:val="24"/>
                <w:highlight w:val="none"/>
              </w:rPr>
              <w:t>1</w:t>
            </w:r>
          </w:p>
        </w:tc>
        <w:tc>
          <w:tcPr>
            <w:tcW w:w="4752" w:type="dxa"/>
            <w:noWrap w:val="0"/>
            <w:vAlign w:val="center"/>
          </w:tcPr>
          <w:p w14:paraId="3C4CDDD7">
            <w:pPr>
              <w:keepNext w:val="0"/>
              <w:keepLines/>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服务要求</w:t>
            </w:r>
          </w:p>
          <w:p w14:paraId="33F6535F">
            <w:pPr>
              <w:pStyle w:val="2"/>
              <w:keepNext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sz w:val="18"/>
                <w:szCs w:val="18"/>
                <w:lang w:val="en-US" w:eastAsia="zh-CN"/>
              </w:rPr>
            </w:pPr>
            <w:r>
              <w:rPr>
                <w:rFonts w:hint="eastAsia" w:ascii="宋体" w:hAnsi="宋体" w:cs="宋体"/>
                <w:color w:val="auto"/>
                <w:sz w:val="18"/>
                <w:szCs w:val="18"/>
                <w:highlight w:val="none"/>
                <w:lang w:val="en-US" w:eastAsia="zh-CN"/>
              </w:rPr>
              <w:t>（一）服务期限：合同签订之日起1年</w:t>
            </w:r>
          </w:p>
          <w:p w14:paraId="2E5023FD">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（二）</w:t>
            </w:r>
            <w:r>
              <w:rPr>
                <w:rFonts w:hint="eastAsia" w:ascii="宋体" w:hAnsi="宋体" w:eastAsia="宋体" w:cs="宋体"/>
                <w:color w:val="auto"/>
                <w:spacing w:val="-2"/>
                <w:sz w:val="18"/>
                <w:szCs w:val="18"/>
                <w:highlight w:val="none"/>
                <w:lang w:val="en-US" w:eastAsia="zh-CN"/>
              </w:rPr>
              <w:t xml:space="preserve">聘请的律师事务所需要对公司业务运行中的法律风险有独到的预估，并能提出有效的解决方案。律师事务所安排到公司的服务律师对公司业务熟悉，有较强的能力。 </w:t>
            </w:r>
          </w:p>
          <w:p w14:paraId="1B9CD53F">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（三）</w:t>
            </w:r>
            <w:r>
              <w:rPr>
                <w:rFonts w:hint="eastAsia" w:ascii="宋体" w:hAnsi="宋体" w:eastAsia="宋体" w:cs="宋体"/>
                <w:color w:val="auto"/>
                <w:spacing w:val="-2"/>
                <w:sz w:val="18"/>
                <w:szCs w:val="18"/>
                <w:highlight w:val="none"/>
                <w:lang w:val="en-US" w:eastAsia="zh-CN"/>
              </w:rPr>
              <w:t xml:space="preserve">律师事务所安排到采购人的律师需具备丰富的诉讼、仲裁实务经验；擅长处理征地拆迁、土地纠纷、各类合同、担保、劳动关系、侵权纠纷等法律事务；能够承担法律文书的起草和审核、法律事务的谈判、出具法律意见等事务。 </w:t>
            </w:r>
          </w:p>
          <w:p w14:paraId="14EB8942">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（四）</w:t>
            </w:r>
            <w:r>
              <w:rPr>
                <w:rFonts w:hint="eastAsia" w:ascii="宋体" w:hAnsi="宋体" w:eastAsia="宋体" w:cs="宋体"/>
                <w:color w:val="auto"/>
                <w:spacing w:val="-2"/>
                <w:sz w:val="18"/>
                <w:szCs w:val="18"/>
                <w:highlight w:val="none"/>
                <w:lang w:val="en-US" w:eastAsia="zh-CN"/>
              </w:rPr>
              <w:t>常年法律顾问服务内容（包括但不限于提供以下服务）：</w:t>
            </w:r>
          </w:p>
          <w:p w14:paraId="5BACA8D6">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1. 提供法律咨询；</w:t>
            </w:r>
          </w:p>
          <w:p w14:paraId="1315E681">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2.草拟、审查、修改法律事务文书；</w:t>
            </w:r>
          </w:p>
          <w:p w14:paraId="4FE3D1AA">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 xml:space="preserve">3.参与采购人的经济合同谈判和其他商务谈判，提供法律意见； </w:t>
            </w:r>
          </w:p>
          <w:p w14:paraId="76204AC7">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4.应邀为采购人的有关法律事务出具法律意见书或进行见证；</w:t>
            </w:r>
          </w:p>
          <w:p w14:paraId="1351E6C3">
            <w:pPr>
              <w:pStyle w:val="2"/>
              <w:keepNext w:val="0"/>
              <w:pageBreakBefore w:val="0"/>
              <w:widowControl/>
              <w:kinsoku/>
              <w:wordWrap/>
              <w:overflowPunct/>
              <w:topLinePunct w:val="0"/>
              <w:autoSpaceDE/>
              <w:autoSpaceDN/>
              <w:bidi w:val="0"/>
              <w:adjustRightInd/>
              <w:snapToGrid/>
              <w:spacing w:line="240" w:lineRule="auto"/>
              <w:ind w:leftChars="0" w:firstLine="0" w:firstLineChars="0"/>
              <w:textAlignment w:val="auto"/>
              <w:rPr>
                <w:rFonts w:hint="eastAsia"/>
                <w:sz w:val="18"/>
                <w:szCs w:val="18"/>
                <w:highlight w:val="none"/>
                <w:lang w:val="en-US" w:eastAsia="zh-CN"/>
              </w:rPr>
            </w:pPr>
            <w:r>
              <w:rPr>
                <w:rFonts w:hint="eastAsia" w:ascii="宋体" w:hAnsi="宋体" w:cs="宋体"/>
                <w:color w:val="auto"/>
                <w:spacing w:val="-2"/>
                <w:sz w:val="18"/>
                <w:szCs w:val="18"/>
                <w:highlight w:val="none"/>
                <w:lang w:val="en-US" w:eastAsia="zh-CN"/>
              </w:rPr>
              <w:t>5.</w:t>
            </w:r>
            <w:r>
              <w:rPr>
                <w:rFonts w:hint="eastAsia" w:ascii="宋体" w:hAnsi="宋体" w:eastAsia="宋体" w:cs="宋体"/>
                <w:color w:val="auto"/>
                <w:spacing w:val="-2"/>
                <w:sz w:val="18"/>
                <w:szCs w:val="18"/>
                <w:highlight w:val="none"/>
                <w:lang w:val="en-US" w:eastAsia="zh-CN"/>
              </w:rPr>
              <w:t>代办企业工商登记等法律事务</w:t>
            </w:r>
            <w:r>
              <w:rPr>
                <w:rFonts w:hint="eastAsia" w:ascii="宋体" w:hAnsi="宋体" w:cs="宋体"/>
                <w:color w:val="auto"/>
                <w:spacing w:val="-2"/>
                <w:sz w:val="18"/>
                <w:szCs w:val="18"/>
                <w:highlight w:val="none"/>
                <w:lang w:val="en-US" w:eastAsia="zh-CN"/>
              </w:rPr>
              <w:t>；</w:t>
            </w:r>
          </w:p>
          <w:p w14:paraId="56A2FE5F">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6</w:t>
            </w:r>
            <w:r>
              <w:rPr>
                <w:rFonts w:hint="eastAsia" w:ascii="宋体" w:hAnsi="宋体" w:eastAsia="宋体" w:cs="宋体"/>
                <w:color w:val="auto"/>
                <w:spacing w:val="-2"/>
                <w:sz w:val="18"/>
                <w:szCs w:val="18"/>
                <w:highlight w:val="none"/>
                <w:lang w:val="en-US" w:eastAsia="zh-CN"/>
              </w:rPr>
              <w:t>.接受采购人委托，对有关企业或项目进行资信或可行性调查，并出具调查报告；</w:t>
            </w:r>
          </w:p>
          <w:p w14:paraId="6B3B647E">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7</w:t>
            </w:r>
            <w:r>
              <w:rPr>
                <w:rFonts w:hint="eastAsia" w:ascii="宋体" w:hAnsi="宋体" w:eastAsia="宋体" w:cs="宋体"/>
                <w:color w:val="auto"/>
                <w:spacing w:val="-2"/>
                <w:sz w:val="18"/>
                <w:szCs w:val="18"/>
                <w:highlight w:val="none"/>
                <w:lang w:val="en-US" w:eastAsia="zh-CN"/>
              </w:rPr>
              <w:t>.代采购人发布有关的声明、公告、致函等法律文书；</w:t>
            </w:r>
          </w:p>
          <w:p w14:paraId="3BB75BE4">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8</w:t>
            </w:r>
            <w:r>
              <w:rPr>
                <w:rFonts w:hint="eastAsia" w:ascii="宋体" w:hAnsi="宋体" w:eastAsia="宋体" w:cs="宋体"/>
                <w:color w:val="auto"/>
                <w:spacing w:val="-2"/>
                <w:sz w:val="18"/>
                <w:szCs w:val="18"/>
                <w:highlight w:val="none"/>
                <w:lang w:val="en-US" w:eastAsia="zh-CN"/>
              </w:rPr>
              <w:t>.向采购人提供有关法律信息；</w:t>
            </w:r>
          </w:p>
          <w:p w14:paraId="1EF059EF">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9</w:t>
            </w:r>
            <w:r>
              <w:rPr>
                <w:rFonts w:hint="eastAsia" w:ascii="宋体" w:hAnsi="宋体" w:eastAsia="宋体" w:cs="宋体"/>
                <w:color w:val="auto"/>
                <w:spacing w:val="-2"/>
                <w:sz w:val="18"/>
                <w:szCs w:val="18"/>
                <w:highlight w:val="none"/>
                <w:lang w:val="en-US" w:eastAsia="zh-CN"/>
              </w:rPr>
              <w:t>.每年协助采购人开展宣传4次教育，运用法律手段加强企业管理；</w:t>
            </w:r>
          </w:p>
          <w:p w14:paraId="7662217C">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10</w:t>
            </w:r>
            <w:r>
              <w:rPr>
                <w:rFonts w:hint="eastAsia" w:ascii="宋体" w:hAnsi="宋体" w:eastAsia="宋体" w:cs="宋体"/>
                <w:color w:val="auto"/>
                <w:spacing w:val="-2"/>
                <w:sz w:val="18"/>
                <w:szCs w:val="18"/>
                <w:highlight w:val="none"/>
                <w:lang w:val="en-US" w:eastAsia="zh-CN"/>
              </w:rPr>
              <w:t>.协助采购人参与处理采购人尚未形成的诉讼或仲裁民事、经济、行政争议或其他重大纠纷；</w:t>
            </w:r>
          </w:p>
          <w:p w14:paraId="1BCC183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w:t>
            </w:r>
            <w:r>
              <w:rPr>
                <w:rFonts w:hint="eastAsia" w:ascii="宋体" w:hAnsi="宋体" w:cs="宋体"/>
                <w:color w:val="auto"/>
                <w:spacing w:val="-2"/>
                <w:sz w:val="18"/>
                <w:szCs w:val="18"/>
                <w:highlight w:val="none"/>
                <w:lang w:val="en-US" w:eastAsia="zh-CN"/>
              </w:rPr>
              <w:t>五</w:t>
            </w:r>
            <w:r>
              <w:rPr>
                <w:rFonts w:hint="eastAsia" w:ascii="宋体" w:hAnsi="宋体" w:eastAsia="宋体" w:cs="宋体"/>
                <w:color w:val="auto"/>
                <w:spacing w:val="-2"/>
                <w:sz w:val="18"/>
                <w:szCs w:val="18"/>
                <w:highlight w:val="none"/>
                <w:lang w:val="en-US" w:eastAsia="zh-CN"/>
              </w:rPr>
              <w:t>）专项法律顾问服务内容（重大项目的非诉服务</w:t>
            </w:r>
            <w:r>
              <w:rPr>
                <w:rFonts w:hint="eastAsia" w:ascii="宋体" w:hAnsi="宋体" w:eastAsia="宋体" w:cs="宋体"/>
                <w:b/>
                <w:bCs/>
                <w:color w:val="auto"/>
                <w:spacing w:val="-2"/>
                <w:sz w:val="18"/>
                <w:szCs w:val="18"/>
                <w:highlight w:val="none"/>
                <w:lang w:val="en-US" w:eastAsia="zh-CN" w:bidi="ar-SA"/>
              </w:rPr>
              <w:t>）：</w:t>
            </w:r>
          </w:p>
          <w:p w14:paraId="49433177">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1.参与重大项目工作会议、谈判，提供项目的专项咨询，并书面出具项目专项法律意见；</w:t>
            </w:r>
          </w:p>
          <w:p w14:paraId="3DF5039F">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2.应采购人的需求参与并协助采购人处置突发紧急事件。</w:t>
            </w:r>
          </w:p>
          <w:p w14:paraId="4CCC48AD">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cs="宋体"/>
                <w:color w:val="auto"/>
                <w:spacing w:val="-2"/>
                <w:sz w:val="18"/>
                <w:szCs w:val="18"/>
                <w:highlight w:val="none"/>
                <w:lang w:val="en-US" w:eastAsia="zh-CN"/>
              </w:rPr>
              <w:t>（六）</w:t>
            </w:r>
            <w:r>
              <w:rPr>
                <w:rFonts w:hint="eastAsia" w:ascii="宋体" w:hAnsi="宋体" w:eastAsia="宋体" w:cs="宋体"/>
                <w:color w:val="auto"/>
                <w:spacing w:val="-2"/>
                <w:sz w:val="18"/>
                <w:szCs w:val="18"/>
                <w:highlight w:val="none"/>
                <w:lang w:val="en-US" w:eastAsia="zh-CN"/>
              </w:rPr>
              <w:t>案件代理服务。</w:t>
            </w:r>
          </w:p>
          <w:p w14:paraId="5BA713EE">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ascii="宋体" w:hAnsi="宋体" w:eastAsia="宋体" w:cs="宋体"/>
                <w:color w:val="auto"/>
                <w:spacing w:val="-2"/>
                <w:sz w:val="18"/>
                <w:szCs w:val="18"/>
                <w:highlight w:val="none"/>
                <w:lang w:val="en-US" w:eastAsia="zh-CN" w:bidi="ar-SA"/>
              </w:rPr>
            </w:pPr>
            <w:r>
              <w:rPr>
                <w:rFonts w:hint="eastAsia" w:ascii="宋体" w:hAnsi="宋体" w:eastAsia="宋体" w:cs="宋体"/>
                <w:color w:val="auto"/>
                <w:spacing w:val="-2"/>
                <w:sz w:val="18"/>
                <w:szCs w:val="18"/>
                <w:highlight w:val="none"/>
                <w:lang w:val="en-US" w:eastAsia="zh-CN" w:bidi="ar-SA"/>
              </w:rPr>
              <w:t>（</w:t>
            </w:r>
            <w:r>
              <w:rPr>
                <w:rFonts w:hint="eastAsia" w:ascii="宋体" w:hAnsi="宋体" w:cs="宋体"/>
                <w:color w:val="auto"/>
                <w:spacing w:val="-2"/>
                <w:sz w:val="18"/>
                <w:szCs w:val="18"/>
                <w:highlight w:val="none"/>
                <w:lang w:val="en-US" w:eastAsia="zh-CN" w:bidi="ar-SA"/>
              </w:rPr>
              <w:t>七</w:t>
            </w:r>
            <w:r>
              <w:rPr>
                <w:rFonts w:hint="eastAsia" w:ascii="宋体" w:hAnsi="宋体" w:eastAsia="宋体" w:cs="宋体"/>
                <w:color w:val="auto"/>
                <w:spacing w:val="-2"/>
                <w:sz w:val="18"/>
                <w:szCs w:val="18"/>
                <w:highlight w:val="none"/>
                <w:lang w:val="en-US" w:eastAsia="zh-CN" w:bidi="ar-SA"/>
              </w:rPr>
              <w:t>）其他服务内容：</w:t>
            </w:r>
          </w:p>
          <w:p w14:paraId="305C95F4">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1.帮助采购人建立、完善公司法人治理机制；</w:t>
            </w:r>
          </w:p>
          <w:p w14:paraId="02B87589">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2.审查、修改采购人各项规章制度；</w:t>
            </w:r>
          </w:p>
          <w:p w14:paraId="1B636336">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3.帮助采购人规范公司业务流程；</w:t>
            </w:r>
          </w:p>
          <w:p w14:paraId="1F2DEFA5">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4.不定期对采购人员工进行法律知识培训，每周安排一天集中解答法律问题；</w:t>
            </w:r>
          </w:p>
          <w:p w14:paraId="5E2D9B70">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5.针对采购人在生产经营过程中出现的法律问题每半年向甲方出具法律意见书。</w:t>
            </w:r>
          </w:p>
          <w:p w14:paraId="2435284B">
            <w:pPr>
              <w:keepNext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sz w:val="18"/>
                <w:szCs w:val="18"/>
                <w:highlight w:val="none"/>
                <w:lang w:val="en-US" w:eastAsia="zh-CN"/>
              </w:rPr>
            </w:pPr>
            <w:r>
              <w:rPr>
                <w:rFonts w:hint="eastAsia" w:ascii="宋体" w:hAnsi="宋体" w:cs="宋体"/>
                <w:color w:val="auto"/>
                <w:spacing w:val="-2"/>
                <w:sz w:val="18"/>
                <w:szCs w:val="18"/>
                <w:highlight w:val="none"/>
                <w:lang w:val="en-US" w:eastAsia="zh-CN"/>
              </w:rPr>
              <w:t>6.</w:t>
            </w:r>
            <w:r>
              <w:rPr>
                <w:rFonts w:hint="eastAsia" w:ascii="宋体" w:hAnsi="宋体" w:eastAsia="宋体" w:cs="宋体"/>
                <w:color w:val="auto"/>
                <w:spacing w:val="-2"/>
                <w:sz w:val="18"/>
                <w:szCs w:val="18"/>
                <w:highlight w:val="none"/>
                <w:lang w:val="en-US" w:eastAsia="zh-CN"/>
              </w:rPr>
              <w:t>若因成交人审查修改合同出现重大过失导致采购人损失的，应由成交人承担赔偿责任。</w:t>
            </w:r>
          </w:p>
          <w:p w14:paraId="2A088FCB">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bidi="ar-SA"/>
              </w:rPr>
            </w:pPr>
            <w:r>
              <w:rPr>
                <w:rFonts w:hint="eastAsia" w:ascii="宋体" w:hAnsi="宋体" w:eastAsia="宋体" w:cs="宋体"/>
                <w:color w:val="auto"/>
                <w:spacing w:val="-2"/>
                <w:sz w:val="18"/>
                <w:szCs w:val="18"/>
                <w:highlight w:val="none"/>
                <w:lang w:val="en-US" w:eastAsia="zh-CN" w:bidi="ar-SA"/>
              </w:rPr>
              <w:t>（</w:t>
            </w:r>
            <w:r>
              <w:rPr>
                <w:rFonts w:hint="eastAsia" w:ascii="宋体" w:hAnsi="宋体" w:cs="宋体"/>
                <w:color w:val="auto"/>
                <w:spacing w:val="-2"/>
                <w:sz w:val="18"/>
                <w:szCs w:val="18"/>
                <w:highlight w:val="none"/>
                <w:lang w:val="en-US" w:eastAsia="zh-CN" w:bidi="ar-SA"/>
              </w:rPr>
              <w:t>八</w:t>
            </w:r>
            <w:r>
              <w:rPr>
                <w:rFonts w:hint="eastAsia" w:ascii="宋体" w:hAnsi="宋体" w:eastAsia="宋体" w:cs="宋体"/>
                <w:color w:val="auto"/>
                <w:spacing w:val="-2"/>
                <w:sz w:val="18"/>
                <w:szCs w:val="18"/>
                <w:highlight w:val="none"/>
                <w:lang w:val="en-US" w:eastAsia="zh-CN" w:bidi="ar-SA"/>
              </w:rPr>
              <w:t>）其他法律服务费要求：</w:t>
            </w:r>
          </w:p>
          <w:p w14:paraId="18DD9B7A">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1. 常年法律顾问费：最高限价5万元（除专项法律服务约定以外的简单事项的律师函、法律意见书、见证已包含在内，不再单独收取费用）；</w:t>
            </w:r>
          </w:p>
          <w:p w14:paraId="4C10B946">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ascii="宋体" w:hAnsi="宋体" w:cs="宋体"/>
                <w:color w:val="auto"/>
                <w:sz w:val="18"/>
                <w:szCs w:val="18"/>
                <w:highlight w:val="none"/>
              </w:rPr>
            </w:pPr>
            <w:r>
              <w:rPr>
                <w:rFonts w:hint="eastAsia" w:ascii="宋体" w:hAnsi="宋体" w:eastAsia="宋体" w:cs="宋体"/>
                <w:color w:val="auto"/>
                <w:spacing w:val="-2"/>
                <w:sz w:val="18"/>
                <w:szCs w:val="18"/>
                <w:highlight w:val="none"/>
                <w:lang w:val="en-US" w:eastAsia="zh-CN"/>
              </w:rPr>
              <w:t>2.专项法律服务费：出具法律意见书、见证、尽职调查等非诉法律服务事项。其中尽职调查报告服务费定为2000元/件，市（泸州市）外差旅费实报实销；其他非诉服务：复杂且涉及项目金额100-500万元的，服务费定为3000元/件；重大复杂且金额在500万元-1000万元的，服务费定为5000元/件；重大复杂且金额在1000万元以上的，根据工作量</w:t>
            </w:r>
            <w:r>
              <w:rPr>
                <w:rFonts w:hint="eastAsia" w:ascii="宋体" w:hAnsi="宋体" w:cs="宋体"/>
                <w:color w:val="auto"/>
                <w:sz w:val="18"/>
                <w:szCs w:val="18"/>
                <w:highlight w:val="none"/>
              </w:rPr>
              <w:t>，另行协商，</w:t>
            </w:r>
            <w:r>
              <w:rPr>
                <w:rFonts w:hint="eastAsia" w:ascii="宋体" w:hAnsi="宋体" w:cs="宋体"/>
                <w:b/>
                <w:bCs/>
                <w:color w:val="auto"/>
                <w:sz w:val="18"/>
                <w:szCs w:val="18"/>
                <w:highlight w:val="none"/>
                <w:lang w:val="en-US" w:eastAsia="zh-CN"/>
              </w:rPr>
              <w:t>最高不超过3</w:t>
            </w:r>
            <w:r>
              <w:rPr>
                <w:rFonts w:hint="eastAsia" w:ascii="宋体" w:hAnsi="宋体" w:cs="宋体"/>
                <w:b/>
                <w:bCs/>
                <w:color w:val="auto"/>
                <w:sz w:val="18"/>
                <w:szCs w:val="18"/>
                <w:highlight w:val="none"/>
              </w:rPr>
              <w:t>万元</w:t>
            </w:r>
            <w:r>
              <w:rPr>
                <w:rFonts w:hint="eastAsia" w:ascii="宋体" w:hAnsi="宋体" w:cs="宋体"/>
                <w:b/>
                <w:bCs/>
                <w:color w:val="auto"/>
                <w:sz w:val="18"/>
                <w:szCs w:val="18"/>
                <w:highlight w:val="none"/>
                <w:lang w:val="en-US" w:eastAsia="zh-CN"/>
              </w:rPr>
              <w:t>/件</w:t>
            </w:r>
            <w:r>
              <w:rPr>
                <w:rFonts w:hint="eastAsia" w:ascii="宋体" w:hAnsi="宋体" w:cs="宋体"/>
                <w:color w:val="auto"/>
                <w:sz w:val="18"/>
                <w:szCs w:val="18"/>
                <w:highlight w:val="none"/>
              </w:rPr>
              <w:t>。</w:t>
            </w:r>
          </w:p>
          <w:p w14:paraId="36AB00CA">
            <w:pPr>
              <w:keepNext w:val="0"/>
              <w:pageBreakBefore w:val="0"/>
              <w:widowControl/>
              <w:kinsoku/>
              <w:wordWrap/>
              <w:overflowPunct/>
              <w:topLinePunct w:val="0"/>
              <w:autoSpaceDE/>
              <w:autoSpaceDN/>
              <w:bidi w:val="0"/>
              <w:adjustRightInd/>
              <w:snapToGrid/>
              <w:spacing w:line="240" w:lineRule="auto"/>
              <w:ind w:leftChars="0" w:firstLine="0" w:firstLineChars="0"/>
              <w:textAlignment w:val="auto"/>
              <w:rPr>
                <w:rFonts w:hint="eastAsia" w:ascii="宋体" w:hAnsi="宋体" w:cs="宋体"/>
                <w:color w:val="auto"/>
                <w:sz w:val="18"/>
                <w:szCs w:val="18"/>
                <w:highlight w:val="none"/>
                <w:lang w:val="en-US" w:eastAsia="zh-CN"/>
              </w:rPr>
            </w:pPr>
            <w:r>
              <w:rPr>
                <w:rFonts w:hint="eastAsia" w:ascii="宋体" w:hAnsi="宋体" w:eastAsia="宋体" w:cs="宋体"/>
                <w:color w:val="auto"/>
                <w:spacing w:val="-2"/>
                <w:sz w:val="18"/>
                <w:szCs w:val="18"/>
                <w:highlight w:val="none"/>
                <w:lang w:val="en-US" w:eastAsia="zh-CN"/>
              </w:rPr>
              <w:t>3.诉讼案件代理费：涉及金额在10万以下案件免费代理至少五件，超过件数最高限价2000元/件；涉及金额在10万到100万元部分，最高限价为标的金额的3%；涉及金额在100万到500万元部分，最高限价为标的金额的2% ；涉及金额在500万到1000万元部分，最高限价为标的金额的1% ；涉及金额在1000万以上的部分，最高限价为标的金额的0.5% 。</w:t>
            </w:r>
            <w:r>
              <w:rPr>
                <w:rFonts w:hint="eastAsia" w:ascii="宋体" w:hAnsi="宋体" w:cs="宋体"/>
                <w:b/>
                <w:bCs/>
                <w:color w:val="auto"/>
                <w:sz w:val="18"/>
                <w:szCs w:val="18"/>
                <w:highlight w:val="none"/>
                <w:lang w:val="en-US" w:eastAsia="zh-CN"/>
              </w:rPr>
              <w:t>诉讼案件代理费分阶段累计计算（报价在最高限价的基础上以报下浮率方式报价，报最高限价的，下浮率即为0%）。</w:t>
            </w:r>
            <w:r>
              <w:rPr>
                <w:rFonts w:hint="eastAsia" w:ascii="宋体" w:hAnsi="宋体" w:cs="宋体"/>
                <w:color w:val="auto"/>
                <w:sz w:val="18"/>
                <w:szCs w:val="18"/>
                <w:highlight w:val="none"/>
                <w:lang w:val="en-US" w:eastAsia="zh-CN"/>
              </w:rPr>
              <w:t>省外案件代理，差旅费实报实销，省内案件代理差旅费自理。二审收费按一审收费的一半记取，再审收费按二审收费的一半记取；执行收费原则上不超过二审收费的60%，具体金额另行协商。</w:t>
            </w:r>
          </w:p>
          <w:p w14:paraId="575BF92F">
            <w:pPr>
              <w:keepNext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（九）服务时效性：</w:t>
            </w:r>
          </w:p>
          <w:p w14:paraId="38540941">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1、因法律业务需要，如重大或紧急事项需要双方现场交涉业务，成交单位应在接到采购人通知后</w:t>
            </w:r>
            <w:r>
              <w:rPr>
                <w:rFonts w:hint="eastAsia" w:ascii="宋体" w:hAnsi="宋体" w:cs="宋体"/>
                <w:color w:val="auto"/>
                <w:spacing w:val="-2"/>
                <w:sz w:val="18"/>
                <w:szCs w:val="18"/>
                <w:highlight w:val="none"/>
                <w:lang w:val="en-US" w:eastAsia="zh-CN"/>
              </w:rPr>
              <w:t>3</w:t>
            </w:r>
            <w:r>
              <w:rPr>
                <w:rFonts w:hint="eastAsia" w:ascii="宋体" w:hAnsi="宋体" w:eastAsia="宋体" w:cs="宋体"/>
                <w:color w:val="auto"/>
                <w:spacing w:val="-2"/>
                <w:sz w:val="18"/>
                <w:szCs w:val="18"/>
                <w:highlight w:val="none"/>
                <w:lang w:val="en-US" w:eastAsia="zh-CN"/>
              </w:rPr>
              <w:t>小时内达到采购人指定地点。</w:t>
            </w:r>
          </w:p>
          <w:p w14:paraId="29791A82">
            <w:pPr>
              <w:keepNext w:val="0"/>
              <w:keepLines/>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hAnsi="宋体" w:eastAsia="宋体"/>
                <w:sz w:val="24"/>
                <w:szCs w:val="24"/>
                <w:highlight w:val="none"/>
                <w:lang w:val="en-US" w:eastAsia="zh-CN"/>
              </w:rPr>
            </w:pPr>
            <w:r>
              <w:rPr>
                <w:rFonts w:hint="eastAsia" w:ascii="宋体" w:hAnsi="宋体" w:eastAsia="宋体" w:cs="宋体"/>
                <w:color w:val="auto"/>
                <w:spacing w:val="-2"/>
                <w:sz w:val="18"/>
                <w:szCs w:val="18"/>
                <w:highlight w:val="none"/>
                <w:lang w:val="en-US" w:eastAsia="zh-CN"/>
              </w:rPr>
              <w:t>2.成交单位按采购人要求在合理时间内完成委托案件的立案。</w:t>
            </w:r>
          </w:p>
        </w:tc>
        <w:tc>
          <w:tcPr>
            <w:tcW w:w="2303" w:type="dxa"/>
            <w:noWrap w:val="0"/>
            <w:vAlign w:val="center"/>
          </w:tcPr>
          <w:p w14:paraId="1483A8B0">
            <w:pPr>
              <w:spacing w:line="360" w:lineRule="auto"/>
              <w:jc w:val="center"/>
              <w:rPr>
                <w:rFonts w:hint="default" w:hAnsi="宋体" w:eastAsia="宋体"/>
                <w:sz w:val="24"/>
                <w:szCs w:val="24"/>
                <w:highlight w:val="none"/>
                <w:lang w:val="en-US" w:eastAsia="zh-CN"/>
              </w:rPr>
            </w:pPr>
            <w:r>
              <w:rPr>
                <w:rFonts w:hint="eastAsia" w:hAnsi="宋体"/>
                <w:sz w:val="24"/>
                <w:szCs w:val="24"/>
                <w:highlight w:val="none"/>
                <w:lang w:val="en-US" w:eastAsia="zh-CN"/>
              </w:rPr>
              <w:t>是/否完全响应</w:t>
            </w:r>
          </w:p>
        </w:tc>
        <w:tc>
          <w:tcPr>
            <w:tcW w:w="1485" w:type="dxa"/>
            <w:noWrap w:val="0"/>
            <w:vAlign w:val="center"/>
          </w:tcPr>
          <w:p w14:paraId="12D2E925">
            <w:pPr>
              <w:spacing w:line="360" w:lineRule="auto"/>
              <w:jc w:val="center"/>
              <w:rPr>
                <w:rFonts w:hAnsi="宋体"/>
                <w:sz w:val="24"/>
                <w:szCs w:val="24"/>
                <w:highlight w:val="none"/>
              </w:rPr>
            </w:pPr>
          </w:p>
        </w:tc>
      </w:tr>
      <w:tr w14:paraId="6B9F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12" w:type="dxa"/>
            <w:noWrap w:val="0"/>
            <w:vAlign w:val="center"/>
          </w:tcPr>
          <w:p w14:paraId="4341718D">
            <w:pPr>
              <w:spacing w:line="360" w:lineRule="auto"/>
              <w:jc w:val="center"/>
              <w:rPr>
                <w:rFonts w:hint="eastAsia" w:hAnsi="宋体"/>
                <w:sz w:val="24"/>
                <w:szCs w:val="24"/>
                <w:highlight w:val="none"/>
              </w:rPr>
            </w:pPr>
            <w:r>
              <w:rPr>
                <w:rFonts w:hint="eastAsia" w:hAnsi="宋体"/>
                <w:sz w:val="24"/>
                <w:szCs w:val="24"/>
                <w:highlight w:val="none"/>
              </w:rPr>
              <w:t>2</w:t>
            </w:r>
          </w:p>
        </w:tc>
        <w:tc>
          <w:tcPr>
            <w:tcW w:w="4752" w:type="dxa"/>
            <w:noWrap w:val="0"/>
            <w:vAlign w:val="center"/>
          </w:tcPr>
          <w:p w14:paraId="29E5D917">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b/>
                <w:bCs/>
                <w:color w:val="auto"/>
                <w:spacing w:val="-2"/>
                <w:sz w:val="18"/>
                <w:szCs w:val="18"/>
                <w:highlight w:val="none"/>
                <w:lang w:val="en-US" w:eastAsia="zh-CN"/>
              </w:rPr>
            </w:pPr>
            <w:r>
              <w:rPr>
                <w:rFonts w:hint="eastAsia" w:ascii="宋体" w:hAnsi="宋体" w:eastAsia="宋体" w:cs="宋体"/>
                <w:b/>
                <w:bCs/>
                <w:color w:val="auto"/>
                <w:spacing w:val="-2"/>
                <w:sz w:val="18"/>
                <w:szCs w:val="18"/>
                <w:highlight w:val="none"/>
                <w:lang w:val="en-US" w:eastAsia="zh-CN"/>
              </w:rPr>
              <w:t>商务要求</w:t>
            </w:r>
          </w:p>
          <w:p w14:paraId="42D0CBF6">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 xml:space="preserve">（一）服务期限：1年（具体服务时间在签订合同时约定）。 </w:t>
            </w:r>
          </w:p>
          <w:p w14:paraId="46221770">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（二）服务地点：采购人指定地点。</w:t>
            </w:r>
          </w:p>
          <w:p w14:paraId="0B8E78DF">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（三）付款方式：</w:t>
            </w:r>
          </w:p>
          <w:p w14:paraId="5B87CAFE">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hAnsi="宋体" w:eastAsia="宋体"/>
                <w:sz w:val="24"/>
                <w:szCs w:val="24"/>
                <w:highlight w:val="none"/>
                <w:lang w:val="en-US" w:eastAsia="zh-CN"/>
              </w:rPr>
            </w:pPr>
            <w:r>
              <w:rPr>
                <w:rFonts w:hint="eastAsia" w:ascii="宋体" w:hAnsi="宋体" w:eastAsia="宋体" w:cs="宋体"/>
                <w:color w:val="auto"/>
                <w:spacing w:val="-2"/>
                <w:sz w:val="18"/>
                <w:szCs w:val="18"/>
                <w:highlight w:val="none"/>
                <w:lang w:val="en-US" w:eastAsia="zh-CN"/>
              </w:rPr>
              <w:t>常年法律顾问费支付方式：合同签订，成交单位提供正式票据后15个工作日内支付合同总金额的50%；成交单位完成年度法律服务、提供总结并提供正式票据后15个工作日内支付剩余费用。其他费用支付方式按具体专项法律服务合同以及代理案件合同约定。</w:t>
            </w:r>
          </w:p>
        </w:tc>
        <w:tc>
          <w:tcPr>
            <w:tcW w:w="2303" w:type="dxa"/>
            <w:noWrap w:val="0"/>
            <w:vAlign w:val="center"/>
          </w:tcPr>
          <w:p w14:paraId="05B82313">
            <w:pPr>
              <w:spacing w:line="360" w:lineRule="auto"/>
              <w:jc w:val="center"/>
              <w:rPr>
                <w:rFonts w:hAnsi="宋体"/>
                <w:sz w:val="24"/>
                <w:szCs w:val="24"/>
                <w:highlight w:val="none"/>
              </w:rPr>
            </w:pPr>
            <w:r>
              <w:rPr>
                <w:rFonts w:hint="eastAsia" w:hAnsi="宋体"/>
                <w:sz w:val="24"/>
                <w:szCs w:val="24"/>
                <w:highlight w:val="none"/>
                <w:lang w:val="en-US" w:eastAsia="zh-CN"/>
              </w:rPr>
              <w:t>是/否完全响应</w:t>
            </w:r>
          </w:p>
        </w:tc>
        <w:tc>
          <w:tcPr>
            <w:tcW w:w="1485" w:type="dxa"/>
            <w:noWrap w:val="0"/>
            <w:vAlign w:val="center"/>
          </w:tcPr>
          <w:p w14:paraId="6B257494">
            <w:pPr>
              <w:spacing w:line="360" w:lineRule="auto"/>
              <w:jc w:val="center"/>
              <w:rPr>
                <w:rFonts w:hAnsi="宋体"/>
                <w:sz w:val="24"/>
                <w:szCs w:val="24"/>
                <w:highlight w:val="none"/>
              </w:rPr>
            </w:pPr>
          </w:p>
        </w:tc>
      </w:tr>
      <w:tr w14:paraId="3A16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12" w:type="dxa"/>
            <w:noWrap w:val="0"/>
            <w:vAlign w:val="center"/>
          </w:tcPr>
          <w:p w14:paraId="5BE6D240">
            <w:pPr>
              <w:spacing w:line="360" w:lineRule="auto"/>
              <w:jc w:val="center"/>
              <w:rPr>
                <w:rFonts w:hint="eastAsia" w:hAnsi="宋体" w:eastAsia="宋体"/>
                <w:sz w:val="24"/>
                <w:szCs w:val="24"/>
                <w:highlight w:val="none"/>
                <w:lang w:val="en-US" w:eastAsia="zh-CN"/>
              </w:rPr>
            </w:pPr>
            <w:r>
              <w:rPr>
                <w:rFonts w:hint="eastAsia" w:hAnsi="宋体"/>
                <w:sz w:val="24"/>
                <w:szCs w:val="24"/>
                <w:highlight w:val="none"/>
                <w:lang w:val="en-US" w:eastAsia="zh-CN"/>
              </w:rPr>
              <w:t>3</w:t>
            </w:r>
          </w:p>
        </w:tc>
        <w:tc>
          <w:tcPr>
            <w:tcW w:w="4752" w:type="dxa"/>
            <w:noWrap w:val="0"/>
            <w:vAlign w:val="center"/>
          </w:tcPr>
          <w:p w14:paraId="6B689B5C">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ascii="宋体" w:hAnsi="宋体" w:eastAsia="宋体" w:cs="宋体"/>
                <w:b/>
                <w:bCs/>
                <w:color w:val="auto"/>
                <w:spacing w:val="-2"/>
                <w:sz w:val="18"/>
                <w:szCs w:val="18"/>
                <w:highlight w:val="none"/>
                <w:lang w:val="en-US" w:eastAsia="zh-CN"/>
              </w:rPr>
            </w:pPr>
            <w:r>
              <w:rPr>
                <w:rFonts w:hint="default" w:ascii="宋体" w:hAnsi="宋体" w:eastAsia="宋体" w:cs="宋体"/>
                <w:b/>
                <w:bCs/>
                <w:color w:val="auto"/>
                <w:spacing w:val="-2"/>
                <w:sz w:val="18"/>
                <w:szCs w:val="18"/>
                <w:highlight w:val="none"/>
                <w:lang w:val="en-US" w:eastAsia="zh-CN"/>
              </w:rPr>
              <w:t>其他要求：</w:t>
            </w:r>
          </w:p>
          <w:p w14:paraId="04B39A0F">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ascii="宋体" w:hAnsi="宋体" w:eastAsia="宋体" w:cs="宋体"/>
                <w:color w:val="auto"/>
                <w:spacing w:val="-2"/>
                <w:sz w:val="18"/>
                <w:szCs w:val="18"/>
                <w:highlight w:val="none"/>
                <w:lang w:val="en-US" w:eastAsia="zh-CN"/>
              </w:rPr>
            </w:pPr>
            <w:r>
              <w:rPr>
                <w:rFonts w:hint="default" w:ascii="宋体" w:hAnsi="宋体" w:eastAsia="宋体" w:cs="宋体"/>
                <w:color w:val="auto"/>
                <w:spacing w:val="-2"/>
                <w:sz w:val="18"/>
                <w:szCs w:val="18"/>
                <w:highlight w:val="none"/>
                <w:lang w:val="en-US" w:eastAsia="zh-CN"/>
              </w:rPr>
              <w:t xml:space="preserve">1. 从磋商起，项目负责人、项目团队成员原则上不得随意更换且项目负责人需全程参与，如果后续项目负责人或个别成员确需更换的，必须书面征得采购人同意，并确保更换后的人员资质、经验、能力标准不予降低。如果发生未经采购人同意擅自更换人员的，采购人有权随时解除合同。   </w:t>
            </w:r>
          </w:p>
          <w:p w14:paraId="172C01FA">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hAnsi="宋体" w:eastAsia="宋体"/>
                <w:sz w:val="24"/>
                <w:szCs w:val="24"/>
                <w:highlight w:val="none"/>
                <w:lang w:val="en-US" w:eastAsia="zh-CN"/>
              </w:rPr>
            </w:pPr>
            <w:r>
              <w:rPr>
                <w:rFonts w:hint="default" w:ascii="宋体" w:hAnsi="宋体" w:eastAsia="宋体" w:cs="宋体"/>
                <w:color w:val="auto"/>
                <w:spacing w:val="-2"/>
                <w:sz w:val="18"/>
                <w:szCs w:val="18"/>
                <w:highlight w:val="none"/>
                <w:lang w:val="en-US" w:eastAsia="zh-CN"/>
              </w:rPr>
              <w:t>2. 成交供应商为采购人的提供日常法律服务时，所产生的交通食宿、查档、复（打）印费等其他费用均包含在报价中。</w:t>
            </w:r>
          </w:p>
        </w:tc>
        <w:tc>
          <w:tcPr>
            <w:tcW w:w="2303" w:type="dxa"/>
            <w:noWrap w:val="0"/>
            <w:vAlign w:val="center"/>
          </w:tcPr>
          <w:p w14:paraId="0291C9FF">
            <w:pPr>
              <w:spacing w:line="360" w:lineRule="auto"/>
              <w:jc w:val="center"/>
              <w:rPr>
                <w:rFonts w:hAnsi="宋体"/>
                <w:sz w:val="24"/>
                <w:szCs w:val="24"/>
                <w:highlight w:val="none"/>
              </w:rPr>
            </w:pPr>
            <w:r>
              <w:rPr>
                <w:rFonts w:hint="eastAsia" w:hAnsi="宋体"/>
                <w:sz w:val="24"/>
                <w:szCs w:val="24"/>
                <w:highlight w:val="none"/>
                <w:lang w:val="en-US" w:eastAsia="zh-CN"/>
              </w:rPr>
              <w:t>是/否完全响应</w:t>
            </w:r>
          </w:p>
        </w:tc>
        <w:tc>
          <w:tcPr>
            <w:tcW w:w="1485" w:type="dxa"/>
            <w:noWrap w:val="0"/>
            <w:vAlign w:val="center"/>
          </w:tcPr>
          <w:p w14:paraId="78FEEB09">
            <w:pPr>
              <w:spacing w:line="360" w:lineRule="auto"/>
              <w:jc w:val="center"/>
              <w:rPr>
                <w:rFonts w:hAnsi="宋体"/>
                <w:sz w:val="24"/>
                <w:szCs w:val="24"/>
                <w:highlight w:val="none"/>
              </w:rPr>
            </w:pPr>
          </w:p>
        </w:tc>
      </w:tr>
      <w:tr w14:paraId="1DD9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12" w:type="dxa"/>
            <w:tcBorders>
              <w:bottom w:val="single" w:color="auto" w:sz="4" w:space="0"/>
            </w:tcBorders>
            <w:noWrap w:val="0"/>
            <w:vAlign w:val="center"/>
          </w:tcPr>
          <w:p w14:paraId="6CFD6284">
            <w:pPr>
              <w:spacing w:line="360" w:lineRule="auto"/>
              <w:jc w:val="center"/>
              <w:rPr>
                <w:rFonts w:hint="default" w:hAnsi="宋体"/>
                <w:sz w:val="24"/>
                <w:szCs w:val="24"/>
                <w:highlight w:val="none"/>
                <w:lang w:val="en-US" w:eastAsia="zh-CN"/>
              </w:rPr>
            </w:pPr>
            <w:r>
              <w:rPr>
                <w:rFonts w:hint="eastAsia" w:hAnsi="宋体"/>
                <w:sz w:val="24"/>
                <w:szCs w:val="24"/>
                <w:highlight w:val="none"/>
                <w:lang w:val="en-US" w:eastAsia="zh-CN"/>
              </w:rPr>
              <w:t>4</w:t>
            </w:r>
          </w:p>
        </w:tc>
        <w:tc>
          <w:tcPr>
            <w:tcW w:w="4752" w:type="dxa"/>
            <w:tcBorders>
              <w:bottom w:val="single" w:color="auto" w:sz="4" w:space="0"/>
            </w:tcBorders>
            <w:noWrap w:val="0"/>
            <w:vAlign w:val="center"/>
          </w:tcPr>
          <w:p w14:paraId="6161CBF0">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pacing w:val="-2"/>
                <w:sz w:val="18"/>
                <w:szCs w:val="18"/>
                <w:highlight w:val="none"/>
                <w:lang w:val="en-US" w:eastAsia="zh-CN"/>
              </w:rPr>
            </w:pPr>
            <w:r>
              <w:rPr>
                <w:rFonts w:hint="eastAsia" w:ascii="宋体" w:hAnsi="宋体" w:eastAsia="宋体" w:cs="宋体"/>
                <w:b/>
                <w:bCs/>
                <w:color w:val="auto"/>
                <w:spacing w:val="-2"/>
                <w:sz w:val="18"/>
                <w:szCs w:val="18"/>
                <w:highlight w:val="none"/>
                <w:lang w:val="en-US" w:eastAsia="zh-CN"/>
              </w:rPr>
              <w:t>考核要求（验收）</w:t>
            </w:r>
          </w:p>
          <w:p w14:paraId="3CAB1ABC">
            <w:pPr>
              <w:keepNext w:val="0"/>
              <w:keepLines w:val="0"/>
              <w:pageBreakBefore w:val="0"/>
              <w:widowControl/>
              <w:shd w:val="clear" w:color="auto" w:fill="auto"/>
              <w:kinsoku/>
              <w:wordWrap/>
              <w:overflowPunct/>
              <w:topLinePunct w:val="0"/>
              <w:autoSpaceDE/>
              <w:autoSpaceDN/>
              <w:bidi w:val="0"/>
              <w:adjustRightInd/>
              <w:snapToGrid/>
              <w:spacing w:line="240" w:lineRule="auto"/>
              <w:ind w:leftChars="0" w:firstLine="0" w:firstLineChars="0"/>
              <w:textAlignment w:val="auto"/>
              <w:rPr>
                <w:rFonts w:hint="default" w:hAnsi="宋体" w:eastAsia="宋体"/>
                <w:sz w:val="24"/>
                <w:szCs w:val="24"/>
                <w:highlight w:val="none"/>
                <w:lang w:val="en-US" w:eastAsia="zh-CN"/>
              </w:rPr>
            </w:pPr>
            <w:r>
              <w:rPr>
                <w:rFonts w:hint="eastAsia" w:ascii="宋体" w:hAnsi="宋体" w:eastAsia="宋体" w:cs="宋体"/>
                <w:color w:val="auto"/>
                <w:spacing w:val="-2"/>
                <w:sz w:val="18"/>
                <w:szCs w:val="18"/>
                <w:highlight w:val="none"/>
                <w:lang w:val="en-US" w:eastAsia="zh-CN"/>
              </w:rPr>
              <w:t>采购人有权每季度对成交单位的团队律师进行考核，采购人有权要求成交单位及时更换在服务过程中不负责任，或认为不适合服务的律师。</w:t>
            </w:r>
          </w:p>
        </w:tc>
        <w:tc>
          <w:tcPr>
            <w:tcW w:w="2303" w:type="dxa"/>
            <w:tcBorders>
              <w:bottom w:val="single" w:color="auto" w:sz="4" w:space="0"/>
            </w:tcBorders>
            <w:noWrap w:val="0"/>
            <w:vAlign w:val="center"/>
          </w:tcPr>
          <w:p w14:paraId="6A7B22AC">
            <w:pPr>
              <w:spacing w:line="360" w:lineRule="auto"/>
              <w:jc w:val="center"/>
              <w:rPr>
                <w:rFonts w:hAnsi="宋体"/>
                <w:sz w:val="24"/>
                <w:szCs w:val="24"/>
                <w:highlight w:val="none"/>
              </w:rPr>
            </w:pPr>
            <w:r>
              <w:rPr>
                <w:rFonts w:hint="eastAsia" w:hAnsi="宋体"/>
                <w:sz w:val="24"/>
                <w:szCs w:val="24"/>
                <w:highlight w:val="none"/>
                <w:lang w:val="en-US" w:eastAsia="zh-CN"/>
              </w:rPr>
              <w:t>是/否完全响应</w:t>
            </w:r>
          </w:p>
        </w:tc>
        <w:tc>
          <w:tcPr>
            <w:tcW w:w="1485" w:type="dxa"/>
            <w:tcBorders>
              <w:bottom w:val="single" w:color="auto" w:sz="4" w:space="0"/>
            </w:tcBorders>
            <w:noWrap w:val="0"/>
            <w:vAlign w:val="center"/>
          </w:tcPr>
          <w:p w14:paraId="4224B2F4">
            <w:pPr>
              <w:spacing w:line="360" w:lineRule="auto"/>
              <w:jc w:val="center"/>
              <w:rPr>
                <w:rFonts w:hAnsi="宋体"/>
                <w:sz w:val="24"/>
                <w:szCs w:val="24"/>
                <w:highlight w:val="none"/>
              </w:rPr>
            </w:pPr>
          </w:p>
        </w:tc>
      </w:tr>
    </w:tbl>
    <w:p w14:paraId="3B59519C">
      <w:pPr>
        <w:pStyle w:val="13"/>
        <w:tabs>
          <w:tab w:val="clear" w:pos="4153"/>
          <w:tab w:val="clear" w:pos="8306"/>
        </w:tabs>
        <w:spacing w:line="360" w:lineRule="auto"/>
        <w:rPr>
          <w:rFonts w:hint="eastAsia" w:hAnsi="宋体" w:eastAsia="宋体"/>
          <w:sz w:val="24"/>
          <w:szCs w:val="24"/>
          <w:highlight w:val="none"/>
          <w:lang w:eastAsia="zh-CN"/>
        </w:rPr>
      </w:pPr>
    </w:p>
    <w:p w14:paraId="32D8D74B">
      <w:pPr>
        <w:autoSpaceDE w:val="0"/>
        <w:autoSpaceDN w:val="0"/>
        <w:adjustRightInd w:val="0"/>
        <w:spacing w:line="360" w:lineRule="auto"/>
        <w:jc w:val="left"/>
        <w:rPr>
          <w:rFonts w:hAnsi="宋体" w:cs="黑体"/>
          <w:b/>
          <w:sz w:val="24"/>
          <w:highlight w:val="none"/>
        </w:rPr>
      </w:pPr>
      <w:r>
        <w:rPr>
          <w:rFonts w:hint="eastAsia" w:hAnsi="宋体"/>
          <w:b/>
          <w:sz w:val="24"/>
          <w:highlight w:val="none"/>
        </w:rPr>
        <w:t>注：</w:t>
      </w:r>
      <w:r>
        <w:rPr>
          <w:rFonts w:hint="eastAsia" w:hAnsi="宋体" w:cs="黑体"/>
          <w:b/>
          <w:sz w:val="24"/>
          <w:highlight w:val="none"/>
        </w:rPr>
        <w:t>供应商</w:t>
      </w:r>
      <w:r>
        <w:rPr>
          <w:rFonts w:hint="eastAsia" w:hAnsi="宋体" w:cs="黑体"/>
          <w:b/>
          <w:sz w:val="24"/>
          <w:highlight w:val="none"/>
          <w:lang w:val="en-US" w:eastAsia="zh-CN"/>
        </w:rPr>
        <w:t>对技术、服务、商务要求完全响应磋商文件要求的，则填写完全响应；如有偏差，则填写偏差部分内容。响应</w:t>
      </w:r>
      <w:r>
        <w:rPr>
          <w:rFonts w:hint="eastAsia" w:hAnsi="宋体" w:cs="黑体"/>
          <w:b/>
          <w:sz w:val="24"/>
          <w:highlight w:val="none"/>
        </w:rPr>
        <w:t>须据实填写，不得虚假响应，虚假响应的，其响应文件无效并按规定追究其相关责任。</w:t>
      </w:r>
    </w:p>
    <w:p w14:paraId="67AD5FE6">
      <w:pPr>
        <w:spacing w:line="360" w:lineRule="auto"/>
        <w:ind w:left="263" w:leftChars="125" w:firstLine="1"/>
        <w:rPr>
          <w:rFonts w:hAnsi="宋体"/>
          <w:sz w:val="24"/>
          <w:highlight w:val="none"/>
        </w:rPr>
      </w:pPr>
    </w:p>
    <w:p w14:paraId="378AEBEB">
      <w:pPr>
        <w:spacing w:line="360" w:lineRule="auto"/>
        <w:rPr>
          <w:rFonts w:hAnsi="宋体"/>
          <w:sz w:val="24"/>
          <w:highlight w:val="none"/>
        </w:rPr>
      </w:pPr>
    </w:p>
    <w:p w14:paraId="4A68108E">
      <w:pPr>
        <w:spacing w:line="360" w:lineRule="auto"/>
        <w:ind w:left="263" w:leftChars="125" w:firstLine="1"/>
        <w:rPr>
          <w:rFonts w:hAnsi="宋体"/>
          <w:sz w:val="24"/>
          <w:highlight w:val="none"/>
        </w:rPr>
      </w:pPr>
    </w:p>
    <w:p w14:paraId="31C8E8CF">
      <w:pPr>
        <w:spacing w:line="360" w:lineRule="auto"/>
        <w:rPr>
          <w:rFonts w:ascii="宋体" w:hAnsi="宋体" w:cs="宋体"/>
          <w:sz w:val="24"/>
          <w:highlight w:val="none"/>
        </w:rPr>
      </w:pPr>
      <w:r>
        <w:rPr>
          <w:rFonts w:hint="eastAsia" w:ascii="宋体" w:hAnsi="宋体" w:cs="宋体"/>
          <w:sz w:val="24"/>
          <w:highlight w:val="none"/>
        </w:rPr>
        <w:t>供应商名称：XXX（盖单位公章）</w:t>
      </w:r>
    </w:p>
    <w:p w14:paraId="4FAEBC06">
      <w:pPr>
        <w:spacing w:line="360" w:lineRule="auto"/>
        <w:rPr>
          <w:rFonts w:ascii="宋体" w:hAnsi="宋体" w:cs="宋体"/>
          <w:sz w:val="24"/>
          <w:highlight w:val="none"/>
        </w:rPr>
      </w:pPr>
      <w:r>
        <w:rPr>
          <w:rFonts w:hint="eastAsia" w:ascii="宋体" w:hAnsi="宋体" w:cs="宋体"/>
          <w:sz w:val="24"/>
          <w:highlight w:val="none"/>
        </w:rPr>
        <w:t>法定代表人或授权代表（签字）：XXX</w:t>
      </w:r>
    </w:p>
    <w:p w14:paraId="41000786">
      <w:pPr>
        <w:spacing w:line="360" w:lineRule="auto"/>
        <w:rPr>
          <w:rFonts w:ascii="宋体" w:hAnsi="宋体" w:cs="宋体"/>
          <w:sz w:val="24"/>
          <w:highlight w:val="none"/>
        </w:rPr>
      </w:pPr>
      <w:r>
        <w:rPr>
          <w:rFonts w:hint="eastAsia" w:ascii="宋体" w:hAnsi="宋体" w:cs="宋体"/>
          <w:sz w:val="24"/>
          <w:highlight w:val="none"/>
        </w:rPr>
        <w:t>日期：XXX</w:t>
      </w:r>
    </w:p>
    <w:p w14:paraId="3FE9EE74">
      <w:pPr>
        <w:adjustRightInd/>
        <w:spacing w:line="240" w:lineRule="auto"/>
        <w:jc w:val="left"/>
        <w:outlineLvl w:val="9"/>
        <w:rPr>
          <w:rFonts w:hint="eastAsia"/>
          <w:b/>
          <w:bCs/>
          <w:sz w:val="32"/>
          <w:szCs w:val="32"/>
          <w:highlight w:val="none"/>
          <w:lang w:val="en-US" w:eastAsia="zh-CN"/>
        </w:rPr>
      </w:pPr>
      <w:bookmarkStart w:id="830" w:name="_Toc11204"/>
      <w:r>
        <w:rPr>
          <w:rFonts w:hint="eastAsia"/>
          <w:b/>
          <w:bCs/>
          <w:sz w:val="32"/>
          <w:szCs w:val="32"/>
          <w:highlight w:val="none"/>
          <w:lang w:val="en-US" w:eastAsia="zh-CN"/>
        </w:rPr>
        <w:br w:type="page"/>
      </w:r>
    </w:p>
    <w:p w14:paraId="02FF38CB">
      <w:pPr>
        <w:adjustRightInd w:val="0"/>
        <w:spacing w:line="360" w:lineRule="auto"/>
        <w:jc w:val="center"/>
        <w:outlineLvl w:val="1"/>
        <w:rPr>
          <w:rFonts w:ascii="宋体" w:hAnsi="宋体"/>
          <w:b/>
          <w:bCs/>
          <w:sz w:val="32"/>
          <w:szCs w:val="32"/>
          <w:highlight w:val="none"/>
        </w:rPr>
      </w:pPr>
      <w:r>
        <w:rPr>
          <w:rFonts w:hint="eastAsia"/>
          <w:b/>
          <w:bCs/>
          <w:sz w:val="32"/>
          <w:szCs w:val="32"/>
          <w:highlight w:val="none"/>
          <w:lang w:val="en-US" w:eastAsia="zh-CN"/>
        </w:rPr>
        <w:t>九</w:t>
      </w:r>
      <w:r>
        <w:rPr>
          <w:rFonts w:hint="eastAsia"/>
          <w:b/>
          <w:bCs/>
          <w:sz w:val="32"/>
          <w:szCs w:val="32"/>
          <w:highlight w:val="none"/>
        </w:rPr>
        <w:t>、法律文件证明</w:t>
      </w:r>
      <w:bookmarkEnd w:id="830"/>
    </w:p>
    <w:p w14:paraId="51E06231">
      <w:pPr>
        <w:adjustRightInd w:val="0"/>
        <w:spacing w:line="360" w:lineRule="auto"/>
        <w:ind w:firstLine="480" w:firstLineChars="200"/>
        <w:jc w:val="left"/>
        <w:rPr>
          <w:rFonts w:hint="eastAsia" w:ascii="宋体" w:hAnsi="宋体"/>
          <w:color w:val="000000" w:themeColor="text1"/>
          <w:sz w:val="24"/>
          <w:lang w:eastAsia="zh-CN"/>
          <w14:textFill>
            <w14:solidFill>
              <w14:schemeClr w14:val="tx1"/>
            </w14:solidFill>
          </w14:textFill>
        </w:rPr>
      </w:pPr>
      <w:r>
        <w:rPr>
          <w:rFonts w:hint="eastAsia" w:ascii="宋体" w:hAnsi="宋体"/>
          <w:sz w:val="24"/>
          <w:highlight w:val="none"/>
        </w:rPr>
        <w:t>1、</w:t>
      </w:r>
      <w:r>
        <w:rPr>
          <w:rFonts w:hint="eastAsia" w:ascii="宋体" w:hAnsi="宋体"/>
          <w:color w:val="000000" w:themeColor="text1"/>
          <w:sz w:val="24"/>
          <w14:textFill>
            <w14:solidFill>
              <w14:schemeClr w14:val="tx1"/>
            </w14:solidFill>
          </w14:textFill>
        </w:rPr>
        <w:t>提供具有统一社会信用代码的营业执照（有效期内，副本，复印件）</w:t>
      </w:r>
      <w:r>
        <w:rPr>
          <w:rFonts w:hint="eastAsia" w:ascii="宋体" w:hAnsi="宋体"/>
          <w:color w:val="000000" w:themeColor="text1"/>
          <w:sz w:val="24"/>
          <w:lang w:eastAsia="zh-CN"/>
          <w14:textFill>
            <w14:solidFill>
              <w14:schemeClr w14:val="tx1"/>
            </w14:solidFill>
          </w14:textFill>
        </w:rPr>
        <w:t>；</w:t>
      </w:r>
    </w:p>
    <w:p w14:paraId="512A2DBE">
      <w:pPr>
        <w:adjustRightInd w:val="0"/>
        <w:spacing w:line="360" w:lineRule="auto"/>
        <w:ind w:firstLine="480" w:firstLineChars="200"/>
        <w:jc w:val="left"/>
        <w:rPr>
          <w:rFonts w:hint="eastAsia" w:ascii="宋体" w:hAnsi="宋体" w:cs="宋体"/>
          <w:bCs/>
          <w:color w:val="auto"/>
          <w:sz w:val="24"/>
          <w:highlight w:val="none"/>
          <w:lang w:val="zh-CN"/>
        </w:rPr>
      </w:pPr>
      <w:r>
        <w:rPr>
          <w:rFonts w:hint="eastAsia" w:ascii="宋体" w:hAnsi="宋体"/>
          <w:sz w:val="24"/>
          <w:highlight w:val="none"/>
          <w:lang w:val="en-US" w:eastAsia="zh-CN"/>
        </w:rPr>
        <w:t>2、</w:t>
      </w:r>
      <w:r>
        <w:rPr>
          <w:rFonts w:hint="eastAsia" w:hAnsi="宋体"/>
          <w:color w:val="auto"/>
          <w:sz w:val="24"/>
        </w:rPr>
        <w:t>若分公司参与投标，在提供第1条约定的总公司资料外，还需提供总公司的授权委托书及分公司营业执照复印件</w:t>
      </w:r>
      <w:r>
        <w:rPr>
          <w:rFonts w:hint="eastAsia" w:ascii="宋体" w:hAnsi="宋体" w:cs="宋体"/>
          <w:bCs/>
          <w:color w:val="auto"/>
          <w:sz w:val="24"/>
          <w:highlight w:val="none"/>
          <w:lang w:val="zh-CN"/>
        </w:rPr>
        <w:t>。</w:t>
      </w:r>
    </w:p>
    <w:p w14:paraId="68289698">
      <w:pPr>
        <w:adjustRightIn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eastAsia="宋体" w:cs="Times New Roman"/>
          <w:color w:val="auto"/>
          <w:sz w:val="24"/>
          <w:highlight w:val="none"/>
          <w:lang w:val="en-US" w:eastAsia="zh-CN"/>
        </w:rPr>
        <w:t>提供《律师事务所执业许可证》复印件</w:t>
      </w:r>
      <w:r>
        <w:rPr>
          <w:rFonts w:hint="eastAsia" w:ascii="宋体" w:hAnsi="宋体" w:eastAsia="宋体" w:cs="Times New Roman"/>
          <w:color w:val="auto"/>
          <w:sz w:val="24"/>
          <w:highlight w:val="none"/>
        </w:rPr>
        <w:t>（加盖公章）</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val="en-US" w:eastAsia="zh-CN"/>
        </w:rPr>
        <w:t>拟投入本项目</w:t>
      </w:r>
      <w:r>
        <w:rPr>
          <w:rFonts w:hint="eastAsia" w:ascii="宋体" w:hAnsi="宋体" w:eastAsia="宋体" w:cs="Times New Roman"/>
          <w:color w:val="auto"/>
          <w:sz w:val="24"/>
          <w:highlight w:val="none"/>
          <w:lang w:val="en-US" w:eastAsia="zh-CN"/>
        </w:rPr>
        <w:t>律师</w:t>
      </w:r>
      <w:r>
        <w:rPr>
          <w:rFonts w:hint="eastAsia" w:ascii="宋体" w:hAnsi="宋体" w:cs="宋体"/>
          <w:color w:val="auto"/>
          <w:sz w:val="24"/>
          <w:highlight w:val="none"/>
          <w:lang w:val="en-US" w:eastAsia="zh-CN"/>
        </w:rPr>
        <w:t>年检合格的</w:t>
      </w:r>
      <w:r>
        <w:rPr>
          <w:rFonts w:hint="eastAsia" w:ascii="宋体" w:hAnsi="宋体" w:cs="宋体"/>
          <w:color w:val="auto"/>
          <w:sz w:val="24"/>
          <w:highlight w:val="none"/>
        </w:rPr>
        <w:t>执业</w:t>
      </w:r>
      <w:r>
        <w:rPr>
          <w:rFonts w:hint="eastAsia" w:ascii="宋体" w:hAnsi="宋体" w:cs="宋体"/>
          <w:color w:val="auto"/>
          <w:sz w:val="24"/>
          <w:highlight w:val="none"/>
          <w:lang w:val="en-US" w:eastAsia="zh-CN"/>
        </w:rPr>
        <w:t>证书</w:t>
      </w:r>
      <w:r>
        <w:rPr>
          <w:rFonts w:hint="eastAsia" w:ascii="宋体" w:hAnsi="宋体" w:eastAsia="宋体" w:cs="Times New Roman"/>
          <w:color w:val="auto"/>
          <w:sz w:val="24"/>
          <w:highlight w:val="none"/>
          <w:lang w:val="en-US" w:eastAsia="zh-CN"/>
        </w:rPr>
        <w:t>复印件</w:t>
      </w:r>
      <w:r>
        <w:rPr>
          <w:rFonts w:hint="eastAsia" w:ascii="宋体" w:hAnsi="宋体" w:eastAsia="宋体" w:cs="Times New Roman"/>
          <w:color w:val="auto"/>
          <w:sz w:val="24"/>
          <w:highlight w:val="none"/>
        </w:rPr>
        <w:t>（加盖公章）。</w:t>
      </w:r>
    </w:p>
    <w:p w14:paraId="26790B67">
      <w:pPr>
        <w:pStyle w:val="2"/>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如本项目需缴纳保证金，供应商需</w:t>
      </w:r>
      <w:r>
        <w:rPr>
          <w:rFonts w:hint="eastAsia" w:ascii="宋体" w:hAnsi="宋体" w:cs="宋体"/>
          <w:sz w:val="24"/>
          <w:highlight w:val="none"/>
        </w:rPr>
        <w:t>提供磋商保证金缴纳凭证（</w:t>
      </w:r>
      <w:r>
        <w:rPr>
          <w:rFonts w:hint="eastAsia" w:ascii="宋体" w:hAnsi="宋体" w:cs="宋体"/>
          <w:sz w:val="24"/>
          <w:highlight w:val="none"/>
          <w:lang w:bidi="ar"/>
        </w:rPr>
        <w:t>银行转账凭证或银行保函及保函保费缴纳凭证</w:t>
      </w:r>
      <w:r>
        <w:rPr>
          <w:rFonts w:hint="eastAsia" w:ascii="宋体" w:hAnsi="宋体" w:cs="宋体"/>
          <w:sz w:val="24"/>
          <w:highlight w:val="none"/>
        </w:rPr>
        <w:t>）复印件（加盖公章）。</w:t>
      </w:r>
    </w:p>
    <w:p w14:paraId="6AA25CD5">
      <w:pPr>
        <w:pStyle w:val="25"/>
        <w:spacing w:line="360" w:lineRule="auto"/>
        <w:ind w:firstLine="480"/>
        <w:rPr>
          <w:rFonts w:hAnsi="宋体"/>
          <w:sz w:val="24"/>
          <w:highlight w:val="none"/>
        </w:rPr>
      </w:pPr>
    </w:p>
    <w:p w14:paraId="23763695">
      <w:pPr>
        <w:spacing w:line="360" w:lineRule="auto"/>
        <w:rPr>
          <w:rFonts w:ascii="宋体" w:hAnsi="宋体"/>
          <w:sz w:val="24"/>
          <w:highlight w:val="none"/>
        </w:rPr>
      </w:pPr>
    </w:p>
    <w:p w14:paraId="31A6DE49">
      <w:pPr>
        <w:pStyle w:val="2"/>
        <w:spacing w:line="360" w:lineRule="auto"/>
        <w:rPr>
          <w:rFonts w:ascii="宋体" w:hAnsi="宋体"/>
          <w:sz w:val="24"/>
          <w:highlight w:val="none"/>
        </w:rPr>
      </w:pPr>
    </w:p>
    <w:p w14:paraId="46C7CB01">
      <w:pPr>
        <w:pStyle w:val="23"/>
        <w:spacing w:line="360" w:lineRule="auto"/>
        <w:outlineLvl w:val="9"/>
        <w:rPr>
          <w:rFonts w:ascii="宋体" w:hAnsi="宋体"/>
          <w:sz w:val="24"/>
          <w:highlight w:val="none"/>
        </w:rPr>
      </w:pPr>
    </w:p>
    <w:p w14:paraId="0C4E46B3">
      <w:pPr>
        <w:pStyle w:val="25"/>
        <w:spacing w:line="360" w:lineRule="auto"/>
        <w:ind w:firstLine="480"/>
        <w:rPr>
          <w:rFonts w:hAnsi="宋体"/>
          <w:sz w:val="24"/>
          <w:highlight w:val="none"/>
        </w:rPr>
      </w:pPr>
    </w:p>
    <w:p w14:paraId="3E004C77">
      <w:pPr>
        <w:spacing w:line="360" w:lineRule="auto"/>
        <w:rPr>
          <w:rFonts w:ascii="宋体" w:hAnsi="宋体"/>
          <w:sz w:val="24"/>
          <w:highlight w:val="none"/>
        </w:rPr>
      </w:pPr>
    </w:p>
    <w:p w14:paraId="115A8148">
      <w:pPr>
        <w:pStyle w:val="2"/>
        <w:spacing w:line="360" w:lineRule="auto"/>
        <w:rPr>
          <w:rFonts w:ascii="宋体" w:hAnsi="宋体"/>
          <w:sz w:val="24"/>
          <w:highlight w:val="none"/>
        </w:rPr>
      </w:pPr>
    </w:p>
    <w:p w14:paraId="3CB2C757">
      <w:pPr>
        <w:pStyle w:val="23"/>
        <w:spacing w:line="360" w:lineRule="auto"/>
        <w:outlineLvl w:val="9"/>
        <w:rPr>
          <w:rFonts w:ascii="宋体" w:hAnsi="宋体"/>
          <w:sz w:val="24"/>
          <w:highlight w:val="none"/>
        </w:rPr>
      </w:pPr>
    </w:p>
    <w:p w14:paraId="535C695B">
      <w:pPr>
        <w:pStyle w:val="25"/>
        <w:spacing w:line="360" w:lineRule="auto"/>
        <w:ind w:firstLine="480"/>
        <w:rPr>
          <w:rFonts w:hAnsi="宋体"/>
          <w:sz w:val="24"/>
          <w:highlight w:val="none"/>
        </w:rPr>
      </w:pPr>
    </w:p>
    <w:p w14:paraId="54F930AC">
      <w:pPr>
        <w:spacing w:line="360" w:lineRule="auto"/>
        <w:rPr>
          <w:rFonts w:ascii="宋体" w:hAnsi="宋体"/>
          <w:sz w:val="24"/>
          <w:highlight w:val="none"/>
        </w:rPr>
      </w:pPr>
    </w:p>
    <w:p w14:paraId="67963705">
      <w:pPr>
        <w:pStyle w:val="2"/>
        <w:spacing w:line="360" w:lineRule="auto"/>
        <w:rPr>
          <w:rFonts w:ascii="宋体" w:hAnsi="宋体"/>
          <w:sz w:val="24"/>
          <w:highlight w:val="none"/>
        </w:rPr>
      </w:pPr>
    </w:p>
    <w:p w14:paraId="65EEC9CB">
      <w:pPr>
        <w:pStyle w:val="23"/>
        <w:spacing w:line="360" w:lineRule="auto"/>
        <w:outlineLvl w:val="9"/>
        <w:rPr>
          <w:rFonts w:ascii="宋体" w:hAnsi="宋体"/>
          <w:sz w:val="24"/>
          <w:highlight w:val="none"/>
        </w:rPr>
      </w:pPr>
    </w:p>
    <w:p w14:paraId="3DB1440D">
      <w:pPr>
        <w:pStyle w:val="25"/>
        <w:spacing w:line="360" w:lineRule="auto"/>
        <w:ind w:firstLine="480"/>
        <w:rPr>
          <w:rFonts w:hAnsi="宋体"/>
          <w:sz w:val="24"/>
          <w:highlight w:val="none"/>
        </w:rPr>
      </w:pPr>
    </w:p>
    <w:p w14:paraId="6825D6C2">
      <w:pPr>
        <w:spacing w:line="360" w:lineRule="auto"/>
        <w:rPr>
          <w:rFonts w:ascii="宋体" w:hAnsi="宋体"/>
          <w:sz w:val="24"/>
          <w:highlight w:val="none"/>
        </w:rPr>
      </w:pPr>
    </w:p>
    <w:p w14:paraId="541803BD">
      <w:pPr>
        <w:pStyle w:val="2"/>
        <w:spacing w:line="360" w:lineRule="auto"/>
        <w:rPr>
          <w:rFonts w:ascii="宋体" w:hAnsi="宋体"/>
          <w:sz w:val="24"/>
          <w:highlight w:val="none"/>
        </w:rPr>
      </w:pPr>
    </w:p>
    <w:p w14:paraId="3EDD9CDA">
      <w:pPr>
        <w:pStyle w:val="23"/>
        <w:spacing w:line="360" w:lineRule="auto"/>
        <w:outlineLvl w:val="9"/>
        <w:rPr>
          <w:highlight w:val="none"/>
        </w:rPr>
      </w:pPr>
    </w:p>
    <w:p w14:paraId="411376D2">
      <w:pPr>
        <w:pStyle w:val="2"/>
        <w:spacing w:line="360" w:lineRule="auto"/>
        <w:rPr>
          <w:rFonts w:ascii="宋体" w:hAnsi="宋体"/>
          <w:sz w:val="24"/>
          <w:highlight w:val="none"/>
        </w:rPr>
      </w:pPr>
    </w:p>
    <w:p w14:paraId="68144D9E">
      <w:pPr>
        <w:pStyle w:val="23"/>
        <w:spacing w:line="360" w:lineRule="auto"/>
        <w:outlineLvl w:val="9"/>
        <w:rPr>
          <w:rFonts w:ascii="宋体" w:hAnsi="宋体"/>
          <w:sz w:val="24"/>
          <w:highlight w:val="none"/>
        </w:rPr>
      </w:pPr>
    </w:p>
    <w:p w14:paraId="0924E5D0">
      <w:pPr>
        <w:pStyle w:val="25"/>
        <w:spacing w:line="360" w:lineRule="auto"/>
        <w:ind w:firstLine="480"/>
        <w:rPr>
          <w:rFonts w:hAnsi="宋体"/>
          <w:sz w:val="24"/>
          <w:highlight w:val="none"/>
        </w:rPr>
      </w:pPr>
    </w:p>
    <w:p w14:paraId="187B5847">
      <w:pPr>
        <w:spacing w:line="360" w:lineRule="auto"/>
        <w:rPr>
          <w:rFonts w:ascii="宋体" w:hAnsi="宋体"/>
          <w:sz w:val="24"/>
          <w:highlight w:val="none"/>
        </w:rPr>
      </w:pPr>
    </w:p>
    <w:p w14:paraId="75D865F4">
      <w:pPr>
        <w:pStyle w:val="2"/>
        <w:spacing w:line="360" w:lineRule="auto"/>
        <w:rPr>
          <w:rFonts w:ascii="宋体" w:hAnsi="宋体"/>
          <w:sz w:val="24"/>
          <w:highlight w:val="none"/>
        </w:rPr>
      </w:pPr>
    </w:p>
    <w:p w14:paraId="044E2BF5">
      <w:pPr>
        <w:pStyle w:val="6"/>
        <w:spacing w:line="360" w:lineRule="auto"/>
        <w:jc w:val="center"/>
        <w:rPr>
          <w:highlight w:val="none"/>
        </w:rPr>
      </w:pPr>
      <w:bookmarkStart w:id="831" w:name="_Toc521"/>
      <w:bookmarkStart w:id="832" w:name="_Toc14380"/>
      <w:bookmarkStart w:id="833" w:name="_Toc8405"/>
      <w:bookmarkStart w:id="834" w:name="_Toc28142"/>
      <w:bookmarkStart w:id="835" w:name="_Toc19189"/>
      <w:bookmarkStart w:id="836" w:name="_Toc17222"/>
      <w:bookmarkStart w:id="837" w:name="_Toc19378"/>
      <w:bookmarkStart w:id="838" w:name="_Toc3606"/>
      <w:bookmarkStart w:id="839" w:name="_Toc2964"/>
      <w:bookmarkStart w:id="840" w:name="_Toc19026"/>
      <w:bookmarkStart w:id="841" w:name="_Toc13796"/>
      <w:bookmarkStart w:id="842" w:name="_Toc698"/>
      <w:bookmarkStart w:id="843" w:name="_Toc2050"/>
      <w:bookmarkStart w:id="844" w:name="_Toc12847"/>
      <w:bookmarkStart w:id="845" w:name="_Toc5855"/>
      <w:bookmarkStart w:id="846" w:name="_Toc15081"/>
      <w:bookmarkStart w:id="847" w:name="_Toc21528"/>
      <w:bookmarkStart w:id="848" w:name="_Toc9226"/>
      <w:r>
        <w:rPr>
          <w:rFonts w:hint="eastAsia"/>
          <w:highlight w:val="none"/>
        </w:rPr>
        <w:br w:type="page"/>
      </w:r>
      <w:bookmarkStart w:id="849" w:name="_Toc3395"/>
      <w:bookmarkStart w:id="850" w:name="_Toc20038"/>
      <w:r>
        <w:rPr>
          <w:rFonts w:hint="eastAsia"/>
          <w:highlight w:val="none"/>
          <w:lang w:val="en-US" w:eastAsia="zh-CN"/>
        </w:rPr>
        <w:t>十</w:t>
      </w:r>
      <w:r>
        <w:rPr>
          <w:rFonts w:hint="eastAsia"/>
          <w:highlight w:val="none"/>
        </w:rPr>
        <w:t>、竞标人廉洁自律承诺书</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9"/>
      <w:bookmarkEnd w:id="850"/>
    </w:p>
    <w:p w14:paraId="4DD58205">
      <w:pPr>
        <w:pStyle w:val="2"/>
        <w:spacing w:line="360" w:lineRule="auto"/>
        <w:ind w:left="420" w:leftChars="200"/>
        <w:rPr>
          <w:highlight w:val="none"/>
        </w:rPr>
      </w:pPr>
    </w:p>
    <w:p w14:paraId="6C63802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为了有效遏制不公平竞争和违法违规违纪问题的发生，确保竞标工作的公平、公正、公开，根据国家有关法律法规和廉政建设的规定，本竞标人郑重承诺，严格遵守下列行为准则：</w:t>
      </w:r>
    </w:p>
    <w:p w14:paraId="782CB56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一、严格执行《</w:t>
      </w:r>
      <w:r>
        <w:rPr>
          <w:rFonts w:hint="eastAsia" w:ascii="宋体" w:hAnsi="宋体" w:cs="宋体"/>
          <w:sz w:val="24"/>
          <w:szCs w:val="24"/>
          <w:highlight w:val="none"/>
          <w:lang w:eastAsia="zh-CN"/>
        </w:rPr>
        <w:t>中华人民共和国招标投标法》《</w:t>
      </w:r>
      <w:r>
        <w:rPr>
          <w:rFonts w:hint="eastAsia" w:ascii="宋体" w:hAnsi="宋体" w:cs="宋体"/>
          <w:sz w:val="24"/>
          <w:szCs w:val="24"/>
          <w:highlight w:val="none"/>
        </w:rPr>
        <w:t>采购实施条例</w:t>
      </w:r>
      <w:r>
        <w:rPr>
          <w:rFonts w:hint="eastAsia" w:ascii="宋体" w:hAnsi="宋体" w:cs="宋体"/>
          <w:sz w:val="24"/>
          <w:szCs w:val="24"/>
          <w:highlight w:val="none"/>
          <w:lang w:eastAsia="zh-CN"/>
        </w:rPr>
        <w:t>》《中华人民共和国反不正当竞争法</w:t>
      </w:r>
      <w:r>
        <w:rPr>
          <w:rFonts w:hint="eastAsia" w:ascii="宋体" w:hAnsi="宋体" w:cs="宋体"/>
          <w:sz w:val="24"/>
          <w:szCs w:val="24"/>
          <w:highlight w:val="none"/>
        </w:rPr>
        <w:t>》等有关法律法规规章政策的规定。</w:t>
      </w:r>
    </w:p>
    <w:p w14:paraId="1C4110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二、按照贵单位采购文件规定的方式进行竞标，不隐瞒本单位资质情况，投标资质符合规定，保证不以</w:t>
      </w:r>
      <w:r>
        <w:rPr>
          <w:rFonts w:hint="eastAsia" w:ascii="宋体" w:hAnsi="宋体" w:cs="宋体"/>
          <w:sz w:val="24"/>
          <w:szCs w:val="24"/>
          <w:highlight w:val="none"/>
          <w:lang w:eastAsia="zh-CN"/>
        </w:rPr>
        <w:t>他人</w:t>
      </w:r>
      <w:r>
        <w:rPr>
          <w:rFonts w:hint="eastAsia" w:ascii="宋体" w:hAnsi="宋体" w:cs="宋体"/>
          <w:sz w:val="24"/>
          <w:szCs w:val="24"/>
          <w:highlight w:val="none"/>
        </w:rPr>
        <w:t>名义竞标或者以其他方式弄虚作假，骗取成交。</w:t>
      </w:r>
    </w:p>
    <w:p w14:paraId="49E92D2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74A29BD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四、自觉遵守开评标（审）现场工作纪律，不私下接触评审专家，不干扰正常的开评标（审）秩序。</w:t>
      </w:r>
    </w:p>
    <w:p w14:paraId="47A0E5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不以向采购人或者评标（审）委员会成员行贿的手段谋取成交，不得以任何形式给予贵单位工作人员、中介机构工作人员及其亲属可能影响公平的商业贿赂，包括送礼金礼品、有价证券、购物券、回扣、佣金、咨询费、暂住费、宣传费、支付旅游费用、报销各种消费凭证、宴请、娱乐等。</w:t>
      </w:r>
    </w:p>
    <w:p w14:paraId="439916B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六、我方自愿将本承诺书作为竞标文件的附件，具有同等的法律效力。</w:t>
      </w:r>
    </w:p>
    <w:p w14:paraId="7D0CB9DB">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成交资格、没收履约保证金、终止合同等，给贵单位造成损失的，予以赔偿。</w:t>
      </w:r>
    </w:p>
    <w:p w14:paraId="2CAE56CE">
      <w:pPr>
        <w:spacing w:line="360" w:lineRule="auto"/>
        <w:rPr>
          <w:rFonts w:hint="eastAsia" w:ascii="宋体" w:hAnsi="宋体" w:cs="宋体"/>
          <w:sz w:val="24"/>
          <w:highlight w:val="none"/>
        </w:rPr>
      </w:pPr>
    </w:p>
    <w:p w14:paraId="4664DD27">
      <w:pPr>
        <w:spacing w:line="360" w:lineRule="auto"/>
        <w:rPr>
          <w:rFonts w:hint="eastAsia" w:ascii="宋体" w:hAnsi="宋体" w:cs="宋体"/>
          <w:sz w:val="24"/>
          <w:highlight w:val="none"/>
        </w:rPr>
      </w:pPr>
    </w:p>
    <w:p w14:paraId="11CCC54C">
      <w:pPr>
        <w:spacing w:line="360" w:lineRule="auto"/>
        <w:rPr>
          <w:rFonts w:ascii="宋体" w:hAnsi="宋体" w:cs="宋体"/>
          <w:sz w:val="24"/>
          <w:highlight w:val="none"/>
        </w:rPr>
      </w:pPr>
      <w:r>
        <w:rPr>
          <w:rFonts w:hint="eastAsia" w:ascii="宋体" w:hAnsi="宋体" w:cs="宋体"/>
          <w:sz w:val="24"/>
          <w:highlight w:val="none"/>
        </w:rPr>
        <w:t>供应商名称：XXX（盖单位公章）</w:t>
      </w:r>
    </w:p>
    <w:p w14:paraId="51D7891D">
      <w:pPr>
        <w:spacing w:line="360" w:lineRule="auto"/>
        <w:rPr>
          <w:rFonts w:ascii="宋体" w:hAnsi="宋体" w:cs="宋体"/>
          <w:sz w:val="24"/>
          <w:highlight w:val="none"/>
        </w:rPr>
      </w:pPr>
      <w:r>
        <w:rPr>
          <w:rFonts w:hint="eastAsia" w:ascii="宋体" w:hAnsi="宋体" w:cs="宋体"/>
          <w:sz w:val="24"/>
          <w:highlight w:val="none"/>
        </w:rPr>
        <w:t>法定代表人或授权代表（签字）：XXX</w:t>
      </w:r>
    </w:p>
    <w:p w14:paraId="18FC4504">
      <w:pPr>
        <w:spacing w:line="360" w:lineRule="auto"/>
        <w:rPr>
          <w:rFonts w:ascii="宋体" w:hAnsi="宋体" w:cs="宋体"/>
          <w:sz w:val="24"/>
          <w:highlight w:val="none"/>
        </w:rPr>
      </w:pPr>
      <w:r>
        <w:rPr>
          <w:rFonts w:hint="eastAsia" w:ascii="宋体" w:hAnsi="宋体" w:cs="宋体"/>
          <w:sz w:val="24"/>
          <w:highlight w:val="none"/>
        </w:rPr>
        <w:t>日期：XXX</w:t>
      </w:r>
    </w:p>
    <w:p w14:paraId="0B1700FC">
      <w:pPr>
        <w:spacing w:line="360" w:lineRule="auto"/>
        <w:jc w:val="center"/>
        <w:outlineLvl w:val="1"/>
        <w:rPr>
          <w:sz w:val="24"/>
          <w:szCs w:val="24"/>
          <w:highlight w:val="none"/>
        </w:rPr>
      </w:pPr>
      <w:bookmarkStart w:id="851" w:name="_Toc3945"/>
      <w:bookmarkStart w:id="852" w:name="_Toc8826"/>
      <w:bookmarkStart w:id="853" w:name="_Toc11508"/>
      <w:bookmarkStart w:id="854" w:name="_Toc14957"/>
      <w:bookmarkStart w:id="855" w:name="_Toc17100"/>
      <w:bookmarkStart w:id="856" w:name="_Toc21058"/>
      <w:bookmarkStart w:id="857" w:name="_Toc978"/>
      <w:bookmarkStart w:id="858" w:name="_Toc17857"/>
      <w:bookmarkStart w:id="859" w:name="_Toc7325"/>
      <w:bookmarkStart w:id="860" w:name="_Toc15859"/>
      <w:bookmarkStart w:id="861" w:name="_Toc26306"/>
      <w:bookmarkStart w:id="862" w:name="_Toc7243"/>
      <w:bookmarkStart w:id="863" w:name="_Toc23376"/>
      <w:bookmarkStart w:id="864" w:name="_Toc16543"/>
      <w:bookmarkStart w:id="865" w:name="_Toc6976"/>
      <w:r>
        <w:rPr>
          <w:rStyle w:val="31"/>
          <w:rFonts w:hint="eastAsia"/>
          <w:sz w:val="32"/>
          <w:szCs w:val="32"/>
          <w:highlight w:val="none"/>
          <w:lang w:val="en-US" w:eastAsia="zh-CN"/>
        </w:rPr>
        <w:t>十一</w:t>
      </w:r>
      <w:r>
        <w:rPr>
          <w:rStyle w:val="31"/>
          <w:rFonts w:hint="eastAsia"/>
          <w:sz w:val="32"/>
          <w:szCs w:val="32"/>
          <w:highlight w:val="none"/>
        </w:rPr>
        <w:t>、服务方案</w:t>
      </w:r>
      <w:bookmarkEnd w:id="851"/>
      <w:bookmarkEnd w:id="852"/>
      <w:bookmarkEnd w:id="853"/>
      <w:bookmarkEnd w:id="854"/>
      <w:bookmarkEnd w:id="855"/>
      <w:bookmarkEnd w:id="856"/>
      <w:bookmarkEnd w:id="857"/>
      <w:bookmarkEnd w:id="858"/>
      <w:bookmarkEnd w:id="859"/>
      <w:bookmarkEnd w:id="860"/>
      <w:bookmarkEnd w:id="861"/>
      <w:bookmarkEnd w:id="862"/>
      <w:bookmarkEnd w:id="863"/>
      <w:r>
        <w:rPr>
          <w:rStyle w:val="31"/>
          <w:rFonts w:hint="eastAsia"/>
          <w:sz w:val="32"/>
          <w:szCs w:val="32"/>
          <w:highlight w:val="none"/>
        </w:rPr>
        <w:t>（格式自拟）</w:t>
      </w:r>
      <w:bookmarkEnd w:id="864"/>
      <w:bookmarkEnd w:id="865"/>
    </w:p>
    <w:p w14:paraId="2B99E4FE">
      <w:pPr>
        <w:pStyle w:val="23"/>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内容包括但不限于对采购人业务理解基础上的服务思路方式和风险防范；日常法律咨询方案；日常工作安排方案（含值巡服务制度）；参与突发事件研究与处置方案；规范性文件审查方案；除规范性文件以外的其他文件审查方案；诉讼服务方案；服务质量保障措施等内容。</w:t>
      </w:r>
    </w:p>
    <w:p w14:paraId="333EC7F0">
      <w:pPr>
        <w:pStyle w:val="23"/>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highlight w:val="none"/>
          <w:lang w:val="en-US" w:eastAsia="zh-CN" w:bidi="ar-SA"/>
        </w:rPr>
      </w:pPr>
    </w:p>
    <w:p w14:paraId="36588A2F">
      <w:pPr>
        <w:pStyle w:val="23"/>
        <w:spacing w:line="360" w:lineRule="auto"/>
        <w:outlineLvl w:val="9"/>
        <w:rPr>
          <w:highlight w:val="none"/>
        </w:rPr>
      </w:pPr>
    </w:p>
    <w:p w14:paraId="4F45BE57">
      <w:pPr>
        <w:pStyle w:val="23"/>
        <w:spacing w:line="360" w:lineRule="auto"/>
        <w:outlineLvl w:val="9"/>
        <w:rPr>
          <w:highlight w:val="none"/>
        </w:rPr>
      </w:pPr>
    </w:p>
    <w:p w14:paraId="14C1F458">
      <w:pPr>
        <w:pStyle w:val="23"/>
        <w:spacing w:line="360" w:lineRule="auto"/>
        <w:outlineLvl w:val="9"/>
        <w:rPr>
          <w:highlight w:val="none"/>
        </w:rPr>
      </w:pPr>
    </w:p>
    <w:p w14:paraId="0BF86D34">
      <w:pPr>
        <w:pStyle w:val="23"/>
        <w:spacing w:line="360" w:lineRule="auto"/>
        <w:outlineLvl w:val="9"/>
        <w:rPr>
          <w:highlight w:val="none"/>
        </w:rPr>
      </w:pPr>
    </w:p>
    <w:p w14:paraId="18FC6C73">
      <w:pPr>
        <w:pStyle w:val="23"/>
        <w:spacing w:line="360" w:lineRule="auto"/>
        <w:outlineLvl w:val="9"/>
        <w:rPr>
          <w:highlight w:val="none"/>
        </w:rPr>
      </w:pPr>
    </w:p>
    <w:p w14:paraId="01DAD2A1">
      <w:pPr>
        <w:pStyle w:val="23"/>
        <w:spacing w:line="360" w:lineRule="auto"/>
        <w:outlineLvl w:val="9"/>
        <w:rPr>
          <w:highlight w:val="none"/>
        </w:rPr>
      </w:pPr>
    </w:p>
    <w:p w14:paraId="2C452518">
      <w:pPr>
        <w:pStyle w:val="25"/>
        <w:spacing w:line="360" w:lineRule="auto"/>
        <w:ind w:firstLine="420"/>
        <w:rPr>
          <w:highlight w:val="none"/>
        </w:rPr>
      </w:pPr>
    </w:p>
    <w:p w14:paraId="4E732E1A">
      <w:pPr>
        <w:spacing w:line="360" w:lineRule="auto"/>
        <w:rPr>
          <w:highlight w:val="none"/>
        </w:rPr>
      </w:pPr>
    </w:p>
    <w:p w14:paraId="44854E95">
      <w:pPr>
        <w:pStyle w:val="2"/>
        <w:spacing w:line="360" w:lineRule="auto"/>
        <w:rPr>
          <w:highlight w:val="none"/>
        </w:rPr>
      </w:pPr>
    </w:p>
    <w:p w14:paraId="26163938">
      <w:pPr>
        <w:pStyle w:val="23"/>
        <w:spacing w:line="360" w:lineRule="auto"/>
        <w:outlineLvl w:val="9"/>
        <w:rPr>
          <w:highlight w:val="none"/>
        </w:rPr>
      </w:pPr>
    </w:p>
    <w:p w14:paraId="431BBA7D">
      <w:pPr>
        <w:pStyle w:val="25"/>
        <w:spacing w:line="360" w:lineRule="auto"/>
        <w:ind w:firstLine="420"/>
        <w:rPr>
          <w:highlight w:val="none"/>
        </w:rPr>
      </w:pPr>
    </w:p>
    <w:p w14:paraId="2D96E289">
      <w:pPr>
        <w:spacing w:line="360" w:lineRule="auto"/>
        <w:rPr>
          <w:highlight w:val="none"/>
        </w:rPr>
      </w:pPr>
    </w:p>
    <w:p w14:paraId="58C7598D">
      <w:pPr>
        <w:pStyle w:val="2"/>
        <w:spacing w:line="360" w:lineRule="auto"/>
        <w:rPr>
          <w:highlight w:val="none"/>
        </w:rPr>
      </w:pPr>
    </w:p>
    <w:p w14:paraId="3166AFAF">
      <w:pPr>
        <w:spacing w:line="360" w:lineRule="auto"/>
        <w:rPr>
          <w:highlight w:val="none"/>
        </w:rPr>
      </w:pPr>
    </w:p>
    <w:p w14:paraId="605E6BAB">
      <w:pPr>
        <w:pStyle w:val="2"/>
        <w:rPr>
          <w:highlight w:val="none"/>
        </w:rPr>
      </w:pPr>
      <w:bookmarkStart w:id="866" w:name="_Toc5071"/>
      <w:bookmarkStart w:id="867" w:name="_Toc12093"/>
      <w:bookmarkStart w:id="868" w:name="_Toc422"/>
      <w:bookmarkStart w:id="869" w:name="_Toc30339"/>
      <w:bookmarkStart w:id="870" w:name="_Toc10306"/>
      <w:bookmarkStart w:id="871" w:name="_Toc24898"/>
      <w:bookmarkStart w:id="872" w:name="_Toc3030"/>
      <w:bookmarkStart w:id="873" w:name="_Toc11908"/>
      <w:bookmarkStart w:id="874" w:name="_Toc192"/>
      <w:bookmarkStart w:id="875" w:name="_Toc26054"/>
      <w:bookmarkStart w:id="876" w:name="_Toc31259"/>
      <w:bookmarkStart w:id="877" w:name="_Toc14862"/>
      <w:bookmarkStart w:id="878" w:name="_Toc6543"/>
      <w:bookmarkStart w:id="879" w:name="_Toc29943"/>
      <w:r>
        <w:rPr>
          <w:rFonts w:hint="eastAsia"/>
          <w:sz w:val="32"/>
          <w:szCs w:val="32"/>
          <w:highlight w:val="none"/>
        </w:rPr>
        <w:br w:type="page"/>
      </w:r>
    </w:p>
    <w:p w14:paraId="592AC39B">
      <w:pPr>
        <w:pStyle w:val="6"/>
        <w:numPr>
          <w:ilvl w:val="0"/>
          <w:numId w:val="0"/>
        </w:numPr>
        <w:spacing w:line="360" w:lineRule="auto"/>
        <w:jc w:val="center"/>
        <w:rPr>
          <w:rFonts w:hint="eastAsia"/>
          <w:highlight w:val="none"/>
        </w:rPr>
      </w:pPr>
      <w:bookmarkStart w:id="880" w:name="_Toc17712"/>
      <w:r>
        <w:rPr>
          <w:rFonts w:hint="eastAsia"/>
          <w:highlight w:val="none"/>
          <w:lang w:val="en-US" w:eastAsia="zh-CN"/>
        </w:rPr>
        <w:t>十二、</w:t>
      </w:r>
      <w:r>
        <w:rPr>
          <w:rFonts w:hint="eastAsia"/>
          <w:highlight w:val="none"/>
        </w:rPr>
        <w:t>最终报价函</w:t>
      </w:r>
      <w:bookmarkEnd w:id="845"/>
      <w:bookmarkEnd w:id="846"/>
      <w:bookmarkEnd w:id="847"/>
      <w:bookmarkEnd w:id="848"/>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3FAFD01D">
      <w:pPr>
        <w:numPr>
          <w:ilvl w:val="0"/>
          <w:numId w:val="0"/>
        </w:numPr>
      </w:pPr>
    </w:p>
    <w:p w14:paraId="5CB561B1">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bCs/>
          <w:sz w:val="24"/>
          <w:szCs w:val="21"/>
          <w:lang w:eastAsia="zh-CN"/>
        </w:rPr>
        <w:t>202</w:t>
      </w:r>
      <w:r>
        <w:rPr>
          <w:rFonts w:hint="eastAsia" w:asciiTheme="minorEastAsia" w:hAnsiTheme="minorEastAsia" w:eastAsiaTheme="minorEastAsia" w:cstheme="minorEastAsia"/>
          <w:bCs/>
          <w:sz w:val="24"/>
          <w:szCs w:val="21"/>
          <w:lang w:val="en-US" w:eastAsia="zh-CN"/>
        </w:rPr>
        <w:t>6</w:t>
      </w:r>
      <w:r>
        <w:rPr>
          <w:rFonts w:hint="eastAsia" w:asciiTheme="minorEastAsia" w:hAnsiTheme="minorEastAsia" w:eastAsiaTheme="minorEastAsia" w:cstheme="minorEastAsia"/>
          <w:bCs/>
          <w:sz w:val="24"/>
          <w:szCs w:val="21"/>
          <w:lang w:eastAsia="zh-CN"/>
        </w:rPr>
        <w:t>年法律采购服务采购</w:t>
      </w:r>
    </w:p>
    <w:p w14:paraId="4BD439A6">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项目编号：</w:t>
      </w:r>
      <w:r>
        <w:rPr>
          <w:rFonts w:hint="eastAsia" w:asciiTheme="minorEastAsia" w:hAnsiTheme="minorEastAsia" w:eastAsiaTheme="minorEastAsia" w:cstheme="minorEastAsia"/>
          <w:sz w:val="24"/>
          <w:szCs w:val="21"/>
        </w:rPr>
        <w:t>YYCG[2025]0</w:t>
      </w:r>
      <w:r>
        <w:rPr>
          <w:rFonts w:hint="eastAsia" w:asciiTheme="minorEastAsia" w:hAnsiTheme="minorEastAsia" w:eastAsiaTheme="minorEastAsia" w:cstheme="minorEastAsia"/>
          <w:sz w:val="24"/>
          <w:szCs w:val="21"/>
          <w:lang w:val="en-US" w:eastAsia="zh-CN"/>
        </w:rPr>
        <w:t>22-1号</w:t>
      </w:r>
    </w:p>
    <w:p w14:paraId="5994455D">
      <w:pPr>
        <w:pStyle w:val="2"/>
        <w:rPr>
          <w:rFonts w:hint="default"/>
          <w:lang w:val="en-US" w:eastAsia="zh-CN"/>
        </w:rPr>
      </w:pPr>
    </w:p>
    <w:tbl>
      <w:tblPr>
        <w:tblStyle w:val="18"/>
        <w:tblW w:w="9526"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2315"/>
        <w:gridCol w:w="2954"/>
        <w:gridCol w:w="3499"/>
      </w:tblGrid>
      <w:tr w14:paraId="7FFA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58" w:type="dxa"/>
            <w:noWrap w:val="0"/>
            <w:vAlign w:val="center"/>
          </w:tcPr>
          <w:p w14:paraId="7B36EB3E">
            <w:pPr>
              <w:pageBreakBefore w:val="0"/>
              <w:shd w:val="clear" w:color="auto" w:fill="auto"/>
              <w:overflowPunct/>
              <w:topLinePunct w:val="0"/>
              <w:bidi w:val="0"/>
              <w:spacing w:line="560" w:lineRule="exact"/>
              <w:jc w:val="center"/>
              <w:rPr>
                <w:rFonts w:ascii="宋体" w:hAnsi="宋体" w:cs="宋体"/>
                <w:color w:val="auto"/>
                <w:sz w:val="24"/>
                <w:highlight w:val="none"/>
              </w:rPr>
            </w:pPr>
            <w:r>
              <w:rPr>
                <w:rFonts w:ascii="宋体" w:hAnsi="宋体" w:cs="宋体"/>
                <w:color w:val="auto"/>
                <w:sz w:val="24"/>
                <w:highlight w:val="none"/>
              </w:rPr>
              <w:t>序号</w:t>
            </w:r>
          </w:p>
        </w:tc>
        <w:tc>
          <w:tcPr>
            <w:tcW w:w="2315" w:type="dxa"/>
            <w:noWrap w:val="0"/>
            <w:vAlign w:val="center"/>
          </w:tcPr>
          <w:p w14:paraId="19496566">
            <w:pPr>
              <w:pageBreakBefore w:val="0"/>
              <w:shd w:val="clear" w:color="auto" w:fill="auto"/>
              <w:overflowPunct/>
              <w:topLinePunct w:val="0"/>
              <w:bidi w:val="0"/>
              <w:spacing w:line="560" w:lineRule="exact"/>
              <w:jc w:val="center"/>
              <w:rPr>
                <w:rFonts w:ascii="宋体" w:hAnsi="宋体" w:cs="宋体"/>
                <w:color w:val="auto"/>
                <w:sz w:val="24"/>
                <w:highlight w:val="none"/>
              </w:rPr>
            </w:pPr>
            <w:r>
              <w:rPr>
                <w:rFonts w:ascii="宋体" w:hAnsi="宋体" w:cs="宋体"/>
                <w:color w:val="auto"/>
                <w:sz w:val="24"/>
                <w:highlight w:val="none"/>
              </w:rPr>
              <w:t>项目名称</w:t>
            </w:r>
          </w:p>
        </w:tc>
        <w:tc>
          <w:tcPr>
            <w:tcW w:w="2954" w:type="dxa"/>
            <w:noWrap w:val="0"/>
            <w:vAlign w:val="center"/>
          </w:tcPr>
          <w:p w14:paraId="343C1B6E">
            <w:pPr>
              <w:pageBreakBefore w:val="0"/>
              <w:shd w:val="clear" w:color="auto" w:fill="auto"/>
              <w:overflowPunct/>
              <w:topLinePunct w:val="0"/>
              <w:bidi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总报价</w:t>
            </w:r>
          </w:p>
        </w:tc>
        <w:tc>
          <w:tcPr>
            <w:tcW w:w="3499" w:type="dxa"/>
            <w:noWrap w:val="0"/>
            <w:vAlign w:val="top"/>
          </w:tcPr>
          <w:p w14:paraId="5BD9474A">
            <w:pPr>
              <w:pageBreakBefore w:val="0"/>
              <w:shd w:val="clear" w:color="auto" w:fill="auto"/>
              <w:overflowPunct/>
              <w:topLinePunct w:val="0"/>
              <w:bidi w:val="0"/>
              <w:spacing w:line="560" w:lineRule="exact"/>
              <w:jc w:val="center"/>
              <w:rPr>
                <w:rFonts w:ascii="宋体" w:hAnsi="宋体" w:cs="宋体"/>
                <w:color w:val="auto"/>
                <w:sz w:val="24"/>
                <w:highlight w:val="none"/>
              </w:rPr>
            </w:pPr>
            <w:r>
              <w:rPr>
                <w:rFonts w:ascii="宋体" w:hAnsi="宋体" w:cs="宋体"/>
                <w:color w:val="auto"/>
                <w:sz w:val="24"/>
                <w:highlight w:val="none"/>
              </w:rPr>
              <w:t>备注</w:t>
            </w:r>
          </w:p>
        </w:tc>
      </w:tr>
      <w:tr w14:paraId="5C999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758" w:type="dxa"/>
            <w:noWrap w:val="0"/>
            <w:vAlign w:val="center"/>
          </w:tcPr>
          <w:p w14:paraId="53E43A3D">
            <w:pPr>
              <w:pageBreakBefore w:val="0"/>
              <w:shd w:val="clear" w:color="auto" w:fill="auto"/>
              <w:overflowPunct/>
              <w:topLinePunct w:val="0"/>
              <w:bidi w:val="0"/>
              <w:spacing w:line="560" w:lineRule="exact"/>
              <w:jc w:val="center"/>
              <w:rPr>
                <w:rFonts w:hint="eastAsia" w:ascii="宋体" w:hAnsi="宋体" w:eastAsia="宋体" w:cs="宋体"/>
                <w:color w:val="auto"/>
                <w:sz w:val="24"/>
                <w:highlight w:val="none"/>
                <w:lang w:val="en-US" w:eastAsia="zh-CN"/>
              </w:rPr>
            </w:pPr>
            <w:r>
              <w:rPr>
                <w:rFonts w:ascii="宋体" w:hAnsi="宋体" w:cs="宋体"/>
                <w:color w:val="auto"/>
                <w:sz w:val="24"/>
                <w:highlight w:val="none"/>
              </w:rPr>
              <w:t>1</w:t>
            </w:r>
          </w:p>
        </w:tc>
        <w:tc>
          <w:tcPr>
            <w:tcW w:w="2315" w:type="dxa"/>
            <w:noWrap w:val="0"/>
            <w:vAlign w:val="center"/>
          </w:tcPr>
          <w:p w14:paraId="61686BA3">
            <w:pPr>
              <w:keepNext w:val="0"/>
              <w:keepLines w:val="0"/>
              <w:pageBreakBefore w:val="0"/>
              <w:widowControl/>
              <w:shd w:val="clear" w:color="auto" w:fill="auto"/>
              <w:kinsoku/>
              <w:wordWrap/>
              <w:overflowPunct/>
              <w:topLinePunct w:val="0"/>
              <w:autoSpaceDE/>
              <w:autoSpaceDN/>
              <w:bidi w:val="0"/>
              <w:adjustRightInd/>
              <w:snapToGrid/>
              <w:spacing w:line="560" w:lineRule="exact"/>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lang w:val="en-US" w:eastAsia="zh-CN"/>
              </w:rPr>
              <w:t>常年法律顾问费</w:t>
            </w:r>
          </w:p>
        </w:tc>
        <w:tc>
          <w:tcPr>
            <w:tcW w:w="2954" w:type="dxa"/>
            <w:noWrap w:val="0"/>
            <w:vAlign w:val="center"/>
          </w:tcPr>
          <w:p w14:paraId="47033AB4">
            <w:pPr>
              <w:pageBreakBefore w:val="0"/>
              <w:shd w:val="clear" w:color="auto" w:fill="auto"/>
              <w:overflowPunct/>
              <w:topLinePunct w:val="0"/>
              <w:bidi w:val="0"/>
              <w:spacing w:line="5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p>
        </w:tc>
        <w:tc>
          <w:tcPr>
            <w:tcW w:w="3499" w:type="dxa"/>
            <w:noWrap w:val="0"/>
            <w:vAlign w:val="center"/>
          </w:tcPr>
          <w:p w14:paraId="6EE6208F">
            <w:pPr>
              <w:pageBreakBefore w:val="0"/>
              <w:shd w:val="clear" w:color="auto" w:fill="auto"/>
              <w:overflowPunct/>
              <w:topLinePunct w:val="0"/>
              <w:bidi w:val="0"/>
              <w:spacing w:line="560" w:lineRule="exact"/>
              <w:jc w:val="center"/>
              <w:rPr>
                <w:rFonts w:ascii="宋体" w:hAnsi="宋体" w:cs="宋体"/>
                <w:color w:val="auto"/>
                <w:sz w:val="24"/>
                <w:highlight w:val="none"/>
              </w:rPr>
            </w:pPr>
          </w:p>
        </w:tc>
      </w:tr>
      <w:tr w14:paraId="5A461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758" w:type="dxa"/>
            <w:noWrap w:val="0"/>
            <w:vAlign w:val="center"/>
          </w:tcPr>
          <w:p w14:paraId="24E0E418">
            <w:pPr>
              <w:pageBreakBefore w:val="0"/>
              <w:shd w:val="clear" w:color="auto" w:fill="auto"/>
              <w:overflowPunct/>
              <w:topLinePunct w:val="0"/>
              <w:bidi w:val="0"/>
              <w:spacing w:line="5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315" w:type="dxa"/>
            <w:noWrap w:val="0"/>
            <w:vAlign w:val="center"/>
          </w:tcPr>
          <w:p w14:paraId="0F032782">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诉讼案件代理费</w:t>
            </w:r>
          </w:p>
        </w:tc>
        <w:tc>
          <w:tcPr>
            <w:tcW w:w="2954" w:type="dxa"/>
            <w:noWrap w:val="0"/>
            <w:vAlign w:val="center"/>
          </w:tcPr>
          <w:p w14:paraId="4C102230">
            <w:pPr>
              <w:pageBreakBefore w:val="0"/>
              <w:shd w:val="clear" w:color="auto" w:fill="auto"/>
              <w:overflowPunct/>
              <w:topLinePunct w:val="0"/>
              <w:bidi w:val="0"/>
              <w:spacing w:line="560" w:lineRule="exact"/>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最高限价下浮     </w:t>
            </w:r>
            <w:r>
              <w:rPr>
                <w:rFonts w:hint="eastAsia" w:ascii="宋体" w:hAnsi="宋体" w:eastAsia="宋体" w:cs="宋体"/>
                <w:color w:val="auto"/>
                <w:sz w:val="24"/>
                <w:highlight w:val="none"/>
                <w:u w:val="none"/>
                <w:lang w:val="en-US" w:eastAsia="zh-CN"/>
              </w:rPr>
              <w:t>%计算</w:t>
            </w:r>
          </w:p>
        </w:tc>
        <w:tc>
          <w:tcPr>
            <w:tcW w:w="3499" w:type="dxa"/>
            <w:noWrap w:val="0"/>
            <w:vAlign w:val="center"/>
          </w:tcPr>
          <w:p w14:paraId="2CEBDC5D">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outlineLvl w:val="9"/>
              <w:rPr>
                <w:rFonts w:ascii="宋体" w:hAnsi="宋体" w:cs="宋体"/>
                <w:color w:val="auto"/>
                <w:sz w:val="24"/>
                <w:highlight w:val="none"/>
              </w:rPr>
            </w:pPr>
          </w:p>
        </w:tc>
      </w:tr>
    </w:tbl>
    <w:p w14:paraId="2E525A41">
      <w:pPr>
        <w:spacing w:line="360" w:lineRule="auto"/>
        <w:jc w:val="left"/>
        <w:rPr>
          <w:rFonts w:hint="eastAsia" w:ascii="方正仿宋简体" w:hAnsi="方正仿宋简体" w:eastAsia="方正仿宋简体" w:cs="方正仿宋简体"/>
          <w:b/>
          <w:bCs/>
          <w:sz w:val="28"/>
          <w:szCs w:val="21"/>
        </w:rPr>
      </w:pPr>
    </w:p>
    <w:p w14:paraId="06D196CD">
      <w:pPr>
        <w:adjustRightInd w:val="0"/>
        <w:spacing w:line="360" w:lineRule="auto"/>
        <w:ind w:firstLine="422" w:firstLineChars="200"/>
        <w:jc w:val="left"/>
        <w:rPr>
          <w:rFonts w:hint="eastAsia"/>
          <w:b/>
          <w:color w:val="000000" w:themeColor="text1"/>
          <w:sz w:val="21"/>
          <w:szCs w:val="21"/>
          <w14:textFill>
            <w14:solidFill>
              <w14:schemeClr w14:val="tx1"/>
            </w14:solidFill>
          </w14:textFill>
        </w:rPr>
      </w:pPr>
      <w:r>
        <w:rPr>
          <w:rFonts w:hint="eastAsia"/>
          <w:b/>
          <w:color w:val="000000" w:themeColor="text1"/>
          <w:sz w:val="21"/>
          <w:szCs w:val="21"/>
          <w:lang w:eastAsia="zh-CN"/>
          <w14:textFill>
            <w14:solidFill>
              <w14:schemeClr w14:val="tx1"/>
            </w14:solidFill>
          </w14:textFill>
        </w:rPr>
        <w:t>注：</w:t>
      </w:r>
      <w:r>
        <w:rPr>
          <w:rFonts w:hint="eastAsia"/>
          <w:b/>
          <w:color w:val="000000" w:themeColor="text1"/>
          <w:sz w:val="21"/>
          <w:szCs w:val="21"/>
          <w:lang w:val="en-US" w:eastAsia="zh-CN"/>
          <w14:textFill>
            <w14:solidFill>
              <w14:schemeClr w14:val="tx1"/>
            </w14:solidFill>
          </w14:textFill>
        </w:rPr>
        <w:t>1.最终报价函不需装订在响应文件中，磋商</w:t>
      </w:r>
      <w:r>
        <w:rPr>
          <w:rFonts w:hint="eastAsia"/>
          <w:b/>
          <w:color w:val="000000" w:themeColor="text1"/>
          <w:sz w:val="21"/>
          <w:szCs w:val="21"/>
          <w14:textFill>
            <w14:solidFill>
              <w14:schemeClr w14:val="tx1"/>
            </w14:solidFill>
          </w14:textFill>
        </w:rPr>
        <w:t>小组要求供应商进行最后报价时</w:t>
      </w:r>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14:textFill>
            <w14:solidFill>
              <w14:schemeClr w14:val="tx1"/>
            </w14:solidFill>
          </w14:textFill>
        </w:rPr>
        <w:t>单独递交最终报价表，最终报价不得超过首次报价，否则最终报价无效。</w:t>
      </w:r>
    </w:p>
    <w:p w14:paraId="1F6A1AF0">
      <w:pPr>
        <w:keepNext w:val="0"/>
        <w:keepLines w:val="0"/>
        <w:pageBreakBefore w:val="0"/>
        <w:widowControl/>
        <w:kinsoku/>
        <w:wordWrap/>
        <w:overflowPunct/>
        <w:topLinePunct w:val="0"/>
        <w:autoSpaceDE/>
        <w:autoSpaceDN/>
        <w:bidi w:val="0"/>
        <w:adjustRightInd w:val="0"/>
        <w:snapToGrid/>
        <w:spacing w:before="0" w:line="360" w:lineRule="auto"/>
        <w:ind w:firstLine="480" w:firstLineChars="200"/>
        <w:jc w:val="left"/>
        <w:textAlignment w:val="auto"/>
        <w:rPr>
          <w:rFonts w:hint="default" w:ascii="Times New Roman" w:hAnsi="Times New Roman" w:eastAsia="宋体" w:cs="Times New Roman"/>
          <w:sz w:val="24"/>
          <w:lang w:val="en-US" w:eastAsia="zh-CN"/>
        </w:rPr>
      </w:pPr>
      <w:r>
        <w:rPr>
          <w:rFonts w:hint="eastAsia" w:cs="Times New Roman"/>
          <w:sz w:val="24"/>
          <w:lang w:val="en-US" w:eastAsia="zh-CN"/>
        </w:rPr>
        <w:t>2</w:t>
      </w:r>
      <w:r>
        <w:rPr>
          <w:rFonts w:hint="eastAsia" w:ascii="Times New Roman" w:hAnsi="Times New Roman" w:eastAsia="宋体" w:cs="Times New Roman"/>
          <w:sz w:val="24"/>
          <w:lang w:val="en-US" w:eastAsia="zh-CN"/>
        </w:rPr>
        <w:t>.报价是供应商完成</w:t>
      </w:r>
      <w:r>
        <w:rPr>
          <w:rFonts w:hint="eastAsia" w:cs="Times New Roman"/>
          <w:sz w:val="24"/>
          <w:lang w:val="en-US" w:eastAsia="zh-CN"/>
        </w:rPr>
        <w:t>服务的含税价格</w:t>
      </w:r>
      <w:r>
        <w:rPr>
          <w:rFonts w:hint="eastAsia" w:ascii="Times New Roman" w:hAnsi="Times New Roman" w:eastAsia="宋体" w:cs="Times New Roman"/>
          <w:sz w:val="24"/>
          <w:lang w:val="en-US" w:eastAsia="zh-CN"/>
        </w:rPr>
        <w:t>。</w:t>
      </w:r>
    </w:p>
    <w:p w14:paraId="327624D6">
      <w:pPr>
        <w:keepNext w:val="0"/>
        <w:keepLines w:val="0"/>
        <w:pageBreakBefore w:val="0"/>
        <w:widowControl/>
        <w:kinsoku/>
        <w:wordWrap/>
        <w:overflowPunct/>
        <w:topLinePunct w:val="0"/>
        <w:autoSpaceDE/>
        <w:autoSpaceDN/>
        <w:bidi w:val="0"/>
        <w:adjustRightInd w:val="0"/>
        <w:snapToGrid/>
        <w:spacing w:before="0"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cs="Times New Roman"/>
          <w:sz w:val="24"/>
          <w:lang w:val="en-US" w:eastAsia="zh-CN"/>
        </w:rPr>
        <w:t>3</w:t>
      </w:r>
      <w:r>
        <w:rPr>
          <w:rFonts w:hint="eastAsia" w:ascii="Times New Roman" w:hAnsi="Times New Roman" w:eastAsia="宋体" w:cs="Times New Roman"/>
          <w:sz w:val="24"/>
          <w:lang w:val="en-US" w:eastAsia="zh-CN"/>
        </w:rPr>
        <w:t>.成交供应商为采购人的提供日常法律服务时，所产生的交通食宿</w:t>
      </w:r>
      <w:r>
        <w:rPr>
          <w:rFonts w:hint="eastAsia" w:cs="Times New Roman"/>
          <w:sz w:val="24"/>
          <w:lang w:val="en-US" w:eastAsia="zh-CN"/>
        </w:rPr>
        <w:t>（省内）</w:t>
      </w:r>
      <w:r>
        <w:rPr>
          <w:rFonts w:hint="eastAsia" w:ascii="Times New Roman" w:hAnsi="Times New Roman" w:eastAsia="宋体" w:cs="Times New Roman"/>
          <w:sz w:val="24"/>
          <w:lang w:val="en-US" w:eastAsia="zh-CN"/>
        </w:rPr>
        <w:t>、查档、复（打）印费等其他费用均包含在报价中，如发现有缺、漏、少项等者，均认为报价人也综合考虑报价中。</w:t>
      </w:r>
    </w:p>
    <w:p w14:paraId="4768417C">
      <w:pPr>
        <w:adjustRightInd w:val="0"/>
        <w:spacing w:line="360" w:lineRule="auto"/>
        <w:ind w:firstLine="420" w:firstLineChars="200"/>
        <w:jc w:val="left"/>
        <w:rPr>
          <w:rFonts w:hint="default" w:eastAsia="宋体"/>
          <w:lang w:val="en-US" w:eastAsia="zh-CN"/>
        </w:rPr>
      </w:pPr>
      <w:r>
        <w:rPr>
          <w:rFonts w:hint="eastAsia"/>
          <w:lang w:val="en-US" w:eastAsia="zh-CN"/>
        </w:rPr>
        <w:t>4.报价保留整数（不作为废标条件）。</w:t>
      </w:r>
    </w:p>
    <w:p w14:paraId="1542588C">
      <w:pPr>
        <w:pStyle w:val="2"/>
        <w:rPr>
          <w:rFonts w:hint="default" w:eastAsia="宋体"/>
          <w:lang w:val="en-US" w:eastAsia="zh-CN"/>
        </w:rPr>
      </w:pPr>
    </w:p>
    <w:p w14:paraId="25207CE6">
      <w:pPr>
        <w:pStyle w:val="11"/>
        <w:spacing w:line="360" w:lineRule="auto"/>
        <w:ind w:left="0" w:firstLine="480"/>
        <w:rPr>
          <w:rFonts w:hint="eastAsia" w:ascii="宋体" w:hAnsi="宋体" w:cs="宋体"/>
          <w:sz w:val="24"/>
          <w:szCs w:val="24"/>
          <w:highlight w:val="none"/>
        </w:rPr>
      </w:pPr>
    </w:p>
    <w:p w14:paraId="201BBFD0">
      <w:pPr>
        <w:spacing w:line="360" w:lineRule="auto"/>
        <w:ind w:firstLine="480" w:firstLineChars="200"/>
        <w:jc w:val="left"/>
        <w:rPr>
          <w:sz w:val="24"/>
        </w:rPr>
      </w:pPr>
      <w:r>
        <w:rPr>
          <w:rFonts w:hint="eastAsia"/>
          <w:sz w:val="24"/>
        </w:rPr>
        <w:t>供应商名称：XXX（盖单位公章）</w:t>
      </w:r>
    </w:p>
    <w:p w14:paraId="7A1E466E">
      <w:pPr>
        <w:spacing w:line="360" w:lineRule="auto"/>
        <w:ind w:firstLine="480" w:firstLineChars="200"/>
        <w:jc w:val="left"/>
        <w:rPr>
          <w:sz w:val="24"/>
        </w:rPr>
      </w:pPr>
      <w:r>
        <w:rPr>
          <w:rFonts w:hint="eastAsia"/>
          <w:sz w:val="24"/>
        </w:rPr>
        <w:t>法定代表人或授权代表（签字或盖章）：XXX</w:t>
      </w:r>
    </w:p>
    <w:p w14:paraId="57FC6252">
      <w:pPr>
        <w:spacing w:line="360" w:lineRule="auto"/>
        <w:ind w:firstLine="480" w:firstLineChars="200"/>
        <w:jc w:val="left"/>
        <w:sectPr>
          <w:headerReference r:id="rId6" w:type="default"/>
          <w:footerReference r:id="rId7" w:type="default"/>
          <w:pgSz w:w="11906" w:h="16840"/>
          <w:pgMar w:top="1440" w:right="1800" w:bottom="1440" w:left="1800" w:header="851" w:footer="992" w:gutter="0"/>
          <w:cols w:space="720" w:num="1"/>
          <w:docGrid w:linePitch="462" w:charSpace="0"/>
        </w:sectPr>
      </w:pPr>
      <w:r>
        <w:rPr>
          <w:rFonts w:hint="eastAsia"/>
          <w:sz w:val="24"/>
        </w:rPr>
        <w:t>日期：XXX年XXX月XXX</w:t>
      </w:r>
    </w:p>
    <w:p w14:paraId="6C1CCC5F">
      <w:pPr>
        <w:pStyle w:val="11"/>
        <w:spacing w:line="360" w:lineRule="auto"/>
        <w:ind w:left="0" w:leftChars="0" w:firstLine="0" w:firstLineChars="0"/>
        <w:rPr>
          <w:rFonts w:hint="eastAsia" w:ascii="宋体" w:hAnsi="宋体" w:cs="宋体"/>
          <w:sz w:val="24"/>
          <w:szCs w:val="24"/>
          <w:highlight w:val="none"/>
        </w:rPr>
      </w:pPr>
    </w:p>
    <w:permEnd w:id="78"/>
    <w:p w14:paraId="38633854">
      <w:pPr>
        <w:pStyle w:val="5"/>
        <w:spacing w:line="360" w:lineRule="auto"/>
        <w:jc w:val="center"/>
        <w:rPr>
          <w:sz w:val="36"/>
          <w:szCs w:val="36"/>
          <w:highlight w:val="none"/>
        </w:rPr>
      </w:pPr>
      <w:bookmarkStart w:id="881" w:name="_Toc6081"/>
      <w:bookmarkStart w:id="882" w:name="_Toc31242"/>
      <w:bookmarkStart w:id="883" w:name="_Toc1697"/>
      <w:bookmarkStart w:id="884" w:name="_Toc9010"/>
      <w:bookmarkStart w:id="885" w:name="_Toc5508"/>
      <w:bookmarkStart w:id="886" w:name="_Toc26937"/>
      <w:bookmarkStart w:id="887" w:name="_Toc15838"/>
      <w:bookmarkStart w:id="888" w:name="_Toc1178"/>
      <w:bookmarkStart w:id="889" w:name="_Toc25811"/>
      <w:bookmarkStart w:id="890" w:name="_Toc7485"/>
      <w:bookmarkStart w:id="891" w:name="_Toc3630"/>
      <w:bookmarkStart w:id="892" w:name="_Toc27341"/>
      <w:bookmarkStart w:id="893" w:name="_Toc6260"/>
      <w:bookmarkStart w:id="894" w:name="_Toc217446097"/>
      <w:bookmarkStart w:id="895" w:name="_Toc1784"/>
      <w:bookmarkStart w:id="896" w:name="_Toc208849007"/>
      <w:bookmarkStart w:id="897" w:name="_Toc183582280"/>
      <w:bookmarkStart w:id="898" w:name="_Toc183682415"/>
      <w:r>
        <w:rPr>
          <w:sz w:val="36"/>
          <w:szCs w:val="36"/>
          <w:highlight w:val="none"/>
        </w:rPr>
        <w:t>第</w:t>
      </w:r>
      <w:r>
        <w:rPr>
          <w:rFonts w:hint="eastAsia"/>
          <w:sz w:val="36"/>
          <w:szCs w:val="36"/>
          <w:highlight w:val="none"/>
        </w:rPr>
        <w:t>七</w:t>
      </w:r>
      <w:r>
        <w:rPr>
          <w:sz w:val="36"/>
          <w:szCs w:val="36"/>
          <w:highlight w:val="none"/>
        </w:rPr>
        <w:t>章磋商程序、方法、标准</w:t>
      </w:r>
      <w:bookmarkEnd w:id="881"/>
      <w:bookmarkEnd w:id="882"/>
      <w:bookmarkEnd w:id="883"/>
      <w:bookmarkEnd w:id="884"/>
      <w:bookmarkEnd w:id="885"/>
      <w:bookmarkEnd w:id="886"/>
      <w:bookmarkEnd w:id="887"/>
      <w:bookmarkEnd w:id="888"/>
      <w:bookmarkEnd w:id="889"/>
      <w:bookmarkEnd w:id="890"/>
      <w:bookmarkEnd w:id="891"/>
      <w:bookmarkEnd w:id="892"/>
      <w:bookmarkEnd w:id="893"/>
    </w:p>
    <w:p w14:paraId="4D063E2A">
      <w:pPr>
        <w:spacing w:line="360" w:lineRule="auto"/>
        <w:rPr>
          <w:rFonts w:ascii="宋体" w:hAnsi="宋体"/>
          <w:highlight w:val="none"/>
        </w:rPr>
      </w:pPr>
    </w:p>
    <w:p w14:paraId="2B3D3D3B">
      <w:pPr>
        <w:widowControl w:val="0"/>
        <w:spacing w:line="360" w:lineRule="auto"/>
        <w:ind w:firstLine="480" w:firstLineChars="200"/>
        <w:rPr>
          <w:rFonts w:hint="eastAsia" w:ascii="宋体" w:hAnsi="宋体" w:cs="宋体"/>
          <w:sz w:val="24"/>
          <w:szCs w:val="24"/>
          <w:highlight w:val="none"/>
        </w:rPr>
      </w:pPr>
      <w:bookmarkStart w:id="899" w:name="_Toc8843"/>
      <w:r>
        <w:rPr>
          <w:rFonts w:hint="eastAsia" w:ascii="宋体" w:hAnsi="宋体" w:cs="宋体"/>
          <w:sz w:val="24"/>
          <w:szCs w:val="24"/>
          <w:highlight w:val="none"/>
        </w:rPr>
        <w:t>1.总则</w:t>
      </w:r>
      <w:bookmarkEnd w:id="899"/>
    </w:p>
    <w:p w14:paraId="47D1D1A0">
      <w:pPr>
        <w:widowControl w:val="0"/>
        <w:spacing w:line="360" w:lineRule="auto"/>
        <w:ind w:firstLine="480" w:firstLineChars="200"/>
        <w:rPr>
          <w:rFonts w:hint="eastAsia" w:ascii="宋体" w:hAnsi="宋体" w:cs="宋体"/>
          <w:sz w:val="24"/>
          <w:szCs w:val="24"/>
          <w:highlight w:val="none"/>
        </w:rPr>
      </w:pPr>
      <w:bookmarkStart w:id="900" w:name="_Toc16848"/>
      <w:r>
        <w:rPr>
          <w:rFonts w:hint="eastAsia" w:ascii="宋体" w:hAnsi="宋体" w:cs="宋体"/>
          <w:sz w:val="24"/>
          <w:szCs w:val="24"/>
          <w:highlight w:val="none"/>
        </w:rPr>
        <w:t>1.1参照《中华人民共和国政府采购法</w:t>
      </w:r>
      <w:r>
        <w:rPr>
          <w:rFonts w:hint="eastAsia" w:ascii="宋体" w:hAnsi="宋体" w:cs="宋体"/>
          <w:sz w:val="24"/>
          <w:szCs w:val="24"/>
          <w:highlight w:val="none"/>
          <w:lang w:eastAsia="zh-CN"/>
        </w:rPr>
        <w:t>》《</w:t>
      </w:r>
      <w:r>
        <w:rPr>
          <w:rFonts w:hint="eastAsia" w:ascii="宋体" w:hAnsi="宋体" w:cs="宋体"/>
          <w:sz w:val="24"/>
          <w:szCs w:val="24"/>
          <w:highlight w:val="none"/>
        </w:rPr>
        <w:t>中华人民共和国政府采购法实施条例</w:t>
      </w:r>
      <w:r>
        <w:rPr>
          <w:rFonts w:hint="eastAsia" w:ascii="宋体" w:hAnsi="宋体" w:cs="宋体"/>
          <w:sz w:val="24"/>
          <w:szCs w:val="24"/>
          <w:highlight w:val="none"/>
          <w:lang w:eastAsia="zh-CN"/>
        </w:rPr>
        <w:t>》《</w:t>
      </w:r>
      <w:r>
        <w:rPr>
          <w:rFonts w:hint="eastAsia" w:ascii="宋体" w:hAnsi="宋体" w:cs="宋体"/>
          <w:sz w:val="24"/>
          <w:szCs w:val="24"/>
          <w:highlight w:val="none"/>
        </w:rPr>
        <w:t>政府采购竞争性磋商采购方式管理暂行办法》等法律制度，结合本采购项目特点制定本次磋商采购评审方法。</w:t>
      </w:r>
      <w:bookmarkEnd w:id="900"/>
    </w:p>
    <w:p w14:paraId="48F30E7D">
      <w:pPr>
        <w:widowControl w:val="0"/>
        <w:spacing w:line="360" w:lineRule="auto"/>
        <w:ind w:firstLine="480" w:firstLineChars="200"/>
        <w:rPr>
          <w:rFonts w:hint="eastAsia" w:ascii="宋体" w:hAnsi="宋体" w:cs="宋体"/>
          <w:sz w:val="24"/>
          <w:szCs w:val="24"/>
          <w:highlight w:val="none"/>
        </w:rPr>
      </w:pPr>
      <w:bookmarkStart w:id="901" w:name="_Toc31492"/>
      <w:r>
        <w:rPr>
          <w:rFonts w:hint="eastAsia" w:ascii="宋体" w:hAnsi="宋体" w:cs="宋体"/>
          <w:sz w:val="24"/>
          <w:szCs w:val="24"/>
          <w:highlight w:val="none"/>
        </w:rPr>
        <w:t>1.2磋商工作由采购人负责组织，具体磋商由采购人依法组建的磋商小组负责。</w:t>
      </w:r>
      <w:bookmarkEnd w:id="901"/>
    </w:p>
    <w:p w14:paraId="4E0EF55E">
      <w:pPr>
        <w:widowControl w:val="0"/>
        <w:spacing w:line="360" w:lineRule="auto"/>
        <w:ind w:firstLine="480" w:firstLineChars="200"/>
        <w:rPr>
          <w:rFonts w:hint="eastAsia" w:ascii="宋体" w:hAnsi="宋体" w:cs="宋体"/>
          <w:sz w:val="24"/>
          <w:szCs w:val="24"/>
          <w:highlight w:val="none"/>
        </w:rPr>
      </w:pPr>
      <w:bookmarkStart w:id="902" w:name="_Toc32142"/>
      <w:r>
        <w:rPr>
          <w:rFonts w:hint="eastAsia" w:ascii="宋体" w:hAnsi="宋体" w:cs="宋体"/>
          <w:sz w:val="24"/>
          <w:szCs w:val="24"/>
          <w:highlight w:val="none"/>
        </w:rPr>
        <w:t>1.3磋商工作应遵循公平、公正、科学及择优的原则，并以相同的磋商程序和标准对待所有的供应商。</w:t>
      </w:r>
      <w:bookmarkEnd w:id="902"/>
    </w:p>
    <w:p w14:paraId="155FE7BD">
      <w:pPr>
        <w:widowControl w:val="0"/>
        <w:spacing w:line="360" w:lineRule="auto"/>
        <w:ind w:firstLine="480" w:firstLineChars="200"/>
        <w:rPr>
          <w:rFonts w:hint="eastAsia" w:ascii="宋体" w:hAnsi="宋体" w:cs="宋体"/>
          <w:sz w:val="24"/>
          <w:szCs w:val="24"/>
          <w:highlight w:val="none"/>
        </w:rPr>
      </w:pPr>
      <w:bookmarkStart w:id="903" w:name="_Toc20972"/>
      <w:r>
        <w:rPr>
          <w:rFonts w:hint="eastAsia" w:ascii="宋体" w:hAnsi="宋体" w:cs="宋体"/>
          <w:sz w:val="24"/>
          <w:szCs w:val="24"/>
          <w:highlight w:val="none"/>
        </w:rPr>
        <w:t>1.4磋商小组按照磋商文件规定的磋商程序、评分方法和标准进行评审，并独立履行下列职责：</w:t>
      </w:r>
      <w:bookmarkEnd w:id="903"/>
    </w:p>
    <w:p w14:paraId="36D8870C">
      <w:pPr>
        <w:widowControl w:val="0"/>
        <w:spacing w:line="360" w:lineRule="auto"/>
        <w:ind w:firstLine="480" w:firstLineChars="200"/>
        <w:rPr>
          <w:rFonts w:hint="eastAsia" w:ascii="宋体" w:hAnsi="宋体" w:cs="宋体"/>
          <w:sz w:val="24"/>
          <w:szCs w:val="24"/>
          <w:highlight w:val="none"/>
        </w:rPr>
      </w:pPr>
      <w:bookmarkStart w:id="904" w:name="_Toc19858"/>
      <w:r>
        <w:rPr>
          <w:rFonts w:hint="eastAsia" w:ascii="宋体" w:hAnsi="宋体" w:cs="宋体"/>
          <w:sz w:val="24"/>
          <w:szCs w:val="24"/>
          <w:highlight w:val="none"/>
        </w:rPr>
        <w:t>（一）熟悉和理解磋商文件，确定磋商文件内容是否违反国家有关强制性规定或者磋商文件存在歧义、重大缺陷，根据需要书面要求采购人对磋商文件作出解释；</w:t>
      </w:r>
      <w:bookmarkEnd w:id="904"/>
    </w:p>
    <w:p w14:paraId="2B7D5E1F">
      <w:pPr>
        <w:widowControl w:val="0"/>
        <w:spacing w:line="360" w:lineRule="auto"/>
        <w:ind w:firstLine="480" w:firstLineChars="200"/>
        <w:rPr>
          <w:rFonts w:hint="eastAsia" w:ascii="宋体" w:hAnsi="宋体" w:cs="宋体"/>
          <w:sz w:val="24"/>
          <w:szCs w:val="24"/>
          <w:highlight w:val="none"/>
        </w:rPr>
      </w:pPr>
      <w:bookmarkStart w:id="905" w:name="_Toc2646"/>
      <w:r>
        <w:rPr>
          <w:rFonts w:hint="eastAsia" w:ascii="宋体" w:hAnsi="宋体" w:cs="宋体"/>
          <w:sz w:val="24"/>
          <w:szCs w:val="24"/>
          <w:highlight w:val="none"/>
        </w:rPr>
        <w:t>（二）审查供应商响应文件是否满足磋商文件要求，并作出公正评价；</w:t>
      </w:r>
      <w:bookmarkEnd w:id="905"/>
    </w:p>
    <w:p w14:paraId="54DDFDC7">
      <w:pPr>
        <w:widowControl w:val="0"/>
        <w:spacing w:line="360" w:lineRule="auto"/>
        <w:ind w:firstLine="480" w:firstLineChars="200"/>
        <w:rPr>
          <w:rFonts w:hint="eastAsia" w:ascii="宋体" w:hAnsi="宋体" w:cs="宋体"/>
          <w:sz w:val="24"/>
          <w:szCs w:val="24"/>
          <w:highlight w:val="none"/>
        </w:rPr>
      </w:pPr>
      <w:bookmarkStart w:id="906" w:name="_Toc14100"/>
      <w:r>
        <w:rPr>
          <w:rFonts w:hint="eastAsia" w:ascii="宋体" w:hAnsi="宋体" w:cs="宋体"/>
          <w:sz w:val="24"/>
          <w:szCs w:val="24"/>
          <w:highlight w:val="none"/>
        </w:rPr>
        <w:t>（三）根据需要要求供应商对响应文件中含义不明确、同类问题表述不一致或者有明显文字和计算错误的内容等作出必要的澄清、说明或者更正；</w:t>
      </w:r>
      <w:bookmarkEnd w:id="906"/>
    </w:p>
    <w:p w14:paraId="2DBCF277">
      <w:pPr>
        <w:widowControl w:val="0"/>
        <w:spacing w:line="360" w:lineRule="auto"/>
        <w:ind w:firstLine="480" w:firstLineChars="200"/>
        <w:rPr>
          <w:rFonts w:hint="eastAsia" w:ascii="宋体" w:hAnsi="宋体" w:cs="宋体"/>
          <w:sz w:val="24"/>
          <w:szCs w:val="24"/>
          <w:highlight w:val="none"/>
        </w:rPr>
      </w:pPr>
      <w:bookmarkStart w:id="907" w:name="_Toc28968"/>
      <w:r>
        <w:rPr>
          <w:rFonts w:hint="eastAsia" w:ascii="宋体" w:hAnsi="宋体" w:cs="宋体"/>
          <w:sz w:val="24"/>
          <w:szCs w:val="24"/>
          <w:highlight w:val="none"/>
        </w:rPr>
        <w:t>（四）推荐成交供应商，或者受采购人委托确定成交供应商；</w:t>
      </w:r>
      <w:bookmarkEnd w:id="907"/>
    </w:p>
    <w:p w14:paraId="304700C6">
      <w:pPr>
        <w:widowControl w:val="0"/>
        <w:spacing w:line="360" w:lineRule="auto"/>
        <w:ind w:firstLine="480" w:firstLineChars="200"/>
        <w:rPr>
          <w:rFonts w:hint="eastAsia" w:ascii="宋体" w:hAnsi="宋体" w:cs="宋体"/>
          <w:sz w:val="24"/>
          <w:szCs w:val="24"/>
          <w:highlight w:val="none"/>
        </w:rPr>
      </w:pPr>
      <w:bookmarkStart w:id="908" w:name="_Toc1459"/>
      <w:r>
        <w:rPr>
          <w:rFonts w:hint="eastAsia" w:ascii="宋体" w:hAnsi="宋体" w:cs="宋体"/>
          <w:sz w:val="24"/>
          <w:szCs w:val="24"/>
          <w:highlight w:val="none"/>
        </w:rPr>
        <w:t>（五）起草评审报告并进行签署；</w:t>
      </w:r>
      <w:bookmarkEnd w:id="908"/>
    </w:p>
    <w:p w14:paraId="71DE48E5">
      <w:pPr>
        <w:widowControl w:val="0"/>
        <w:spacing w:line="360" w:lineRule="auto"/>
        <w:ind w:firstLine="480" w:firstLineChars="200"/>
        <w:rPr>
          <w:rFonts w:hint="eastAsia" w:ascii="宋体" w:hAnsi="宋体" w:cs="宋体"/>
          <w:sz w:val="24"/>
          <w:szCs w:val="24"/>
          <w:highlight w:val="none"/>
        </w:rPr>
      </w:pPr>
      <w:bookmarkStart w:id="909" w:name="_Toc13483"/>
      <w:r>
        <w:rPr>
          <w:rFonts w:hint="eastAsia" w:ascii="宋体" w:hAnsi="宋体" w:cs="宋体"/>
          <w:sz w:val="24"/>
          <w:szCs w:val="24"/>
          <w:highlight w:val="none"/>
        </w:rPr>
        <w:t>（六）向采购人、财政部门或者其他监督部门报告非法干预评审工作的行为；</w:t>
      </w:r>
      <w:bookmarkEnd w:id="909"/>
    </w:p>
    <w:p w14:paraId="63547B6C">
      <w:pPr>
        <w:widowControl w:val="0"/>
        <w:spacing w:line="360" w:lineRule="auto"/>
        <w:ind w:firstLine="480" w:firstLineChars="200"/>
        <w:rPr>
          <w:rFonts w:hint="eastAsia" w:ascii="宋体" w:hAnsi="宋体" w:cs="宋体"/>
          <w:sz w:val="24"/>
          <w:szCs w:val="24"/>
          <w:highlight w:val="none"/>
        </w:rPr>
      </w:pPr>
      <w:bookmarkStart w:id="910" w:name="_Toc815"/>
      <w:r>
        <w:rPr>
          <w:rFonts w:hint="eastAsia" w:ascii="宋体" w:hAnsi="宋体" w:cs="宋体"/>
          <w:sz w:val="24"/>
          <w:szCs w:val="24"/>
          <w:highlight w:val="none"/>
        </w:rPr>
        <w:t>（七）</w:t>
      </w:r>
      <w:r>
        <w:rPr>
          <w:rFonts w:hint="eastAsia" w:ascii="宋体" w:hAnsi="宋体" w:cs="宋体"/>
          <w:sz w:val="24"/>
          <w:szCs w:val="24"/>
          <w:highlight w:val="none"/>
          <w:lang w:eastAsia="zh-CN"/>
        </w:rPr>
        <w:t>法律法规</w:t>
      </w:r>
      <w:r>
        <w:rPr>
          <w:rFonts w:hint="eastAsia" w:ascii="宋体" w:hAnsi="宋体" w:cs="宋体"/>
          <w:sz w:val="24"/>
          <w:szCs w:val="24"/>
          <w:highlight w:val="none"/>
        </w:rPr>
        <w:t>和规章规定的其他职责。</w:t>
      </w:r>
      <w:bookmarkEnd w:id="910"/>
    </w:p>
    <w:p w14:paraId="07E77921">
      <w:pPr>
        <w:widowControl w:val="0"/>
        <w:spacing w:line="360" w:lineRule="auto"/>
        <w:ind w:firstLine="480" w:firstLineChars="200"/>
        <w:rPr>
          <w:rFonts w:hint="eastAsia" w:ascii="宋体" w:hAnsi="宋体" w:cs="宋体"/>
          <w:sz w:val="24"/>
          <w:szCs w:val="24"/>
          <w:highlight w:val="none"/>
        </w:rPr>
      </w:pPr>
      <w:bookmarkStart w:id="911" w:name="_Toc25036"/>
      <w:r>
        <w:rPr>
          <w:rFonts w:hint="eastAsia" w:ascii="宋体" w:hAnsi="宋体" w:cs="宋体"/>
          <w:sz w:val="24"/>
          <w:szCs w:val="24"/>
          <w:highlight w:val="none"/>
        </w:rPr>
        <w:t>1.5（实质性要求）磋商过程独立、保密。供应商非法干预磋商过程的，其响应文件作无效处理。</w:t>
      </w:r>
      <w:bookmarkEnd w:id="911"/>
    </w:p>
    <w:p w14:paraId="48A7272A">
      <w:pPr>
        <w:widowControl w:val="0"/>
        <w:spacing w:line="360" w:lineRule="auto"/>
        <w:ind w:firstLine="480" w:firstLineChars="200"/>
        <w:rPr>
          <w:rFonts w:hint="eastAsia" w:ascii="宋体" w:hAnsi="宋体" w:cs="宋体"/>
          <w:sz w:val="24"/>
          <w:szCs w:val="24"/>
          <w:highlight w:val="none"/>
        </w:rPr>
      </w:pPr>
      <w:bookmarkStart w:id="912" w:name="_Toc4646"/>
      <w:r>
        <w:rPr>
          <w:rFonts w:hint="eastAsia" w:ascii="宋体" w:hAnsi="宋体" w:cs="宋体"/>
          <w:sz w:val="24"/>
          <w:szCs w:val="24"/>
          <w:highlight w:val="none"/>
        </w:rPr>
        <w:t>2.磋商程序</w:t>
      </w:r>
      <w:bookmarkEnd w:id="912"/>
    </w:p>
    <w:p w14:paraId="569D673B">
      <w:pPr>
        <w:widowControl w:val="0"/>
        <w:spacing w:line="360" w:lineRule="auto"/>
        <w:ind w:firstLine="480" w:firstLineChars="200"/>
        <w:rPr>
          <w:rFonts w:hint="eastAsia" w:ascii="宋体" w:hAnsi="宋体" w:cs="宋体"/>
          <w:sz w:val="24"/>
          <w:szCs w:val="24"/>
          <w:highlight w:val="none"/>
        </w:rPr>
      </w:pPr>
      <w:bookmarkStart w:id="913" w:name="_Toc23674"/>
      <w:r>
        <w:rPr>
          <w:rFonts w:hint="eastAsia" w:ascii="宋体" w:hAnsi="宋体" w:cs="宋体"/>
          <w:sz w:val="24"/>
          <w:szCs w:val="24"/>
          <w:highlight w:val="none"/>
        </w:rPr>
        <w:t>2.1审查磋商文件和停止评审。</w:t>
      </w:r>
      <w:bookmarkEnd w:id="913"/>
    </w:p>
    <w:p w14:paraId="65773471">
      <w:pPr>
        <w:widowControl w:val="0"/>
        <w:spacing w:line="360" w:lineRule="auto"/>
        <w:ind w:firstLine="480" w:firstLineChars="200"/>
        <w:rPr>
          <w:rFonts w:hint="eastAsia" w:ascii="宋体" w:hAnsi="宋体" w:cs="宋体"/>
          <w:sz w:val="24"/>
          <w:szCs w:val="24"/>
          <w:highlight w:val="none"/>
        </w:rPr>
      </w:pPr>
      <w:bookmarkStart w:id="914" w:name="_Toc27526"/>
      <w:r>
        <w:rPr>
          <w:rFonts w:hint="eastAsia" w:ascii="宋体" w:hAnsi="宋体" w:cs="宋体"/>
          <w:sz w:val="24"/>
          <w:szCs w:val="24"/>
          <w:highlight w:val="none"/>
        </w:rPr>
        <w:t>2.1.1磋商小组正式评审前，应当对磋商文件进行熟悉和理解，内容主要包括磋商文件中供应商资格条件要求、采购项目技术、服务和商务要求、磋商办法和标准</w:t>
      </w:r>
      <w:r>
        <w:rPr>
          <w:rFonts w:hint="eastAsia" w:ascii="宋体" w:hAnsi="宋体" w:cs="宋体"/>
          <w:sz w:val="24"/>
          <w:szCs w:val="24"/>
          <w:highlight w:val="none"/>
          <w:lang w:eastAsia="zh-CN"/>
        </w:rPr>
        <w:t>，以及</w:t>
      </w:r>
      <w:r>
        <w:rPr>
          <w:rFonts w:hint="eastAsia" w:ascii="宋体" w:hAnsi="宋体" w:cs="宋体"/>
          <w:sz w:val="24"/>
          <w:szCs w:val="24"/>
          <w:highlight w:val="none"/>
        </w:rPr>
        <w:t>采购合同主要条款等。</w:t>
      </w:r>
      <w:bookmarkEnd w:id="914"/>
    </w:p>
    <w:p w14:paraId="2A66EED8">
      <w:pPr>
        <w:widowControl w:val="0"/>
        <w:spacing w:line="360" w:lineRule="auto"/>
        <w:ind w:firstLine="480" w:firstLineChars="200"/>
        <w:rPr>
          <w:rFonts w:hint="eastAsia" w:ascii="宋体" w:hAnsi="宋体" w:cs="宋体"/>
          <w:sz w:val="24"/>
          <w:szCs w:val="24"/>
          <w:highlight w:val="none"/>
        </w:rPr>
      </w:pPr>
      <w:bookmarkStart w:id="915" w:name="_Toc13239"/>
      <w:r>
        <w:rPr>
          <w:rFonts w:hint="eastAsia" w:ascii="宋体" w:hAnsi="宋体" w:cs="宋体"/>
          <w:sz w:val="24"/>
          <w:szCs w:val="24"/>
          <w:highlight w:val="none"/>
        </w:rPr>
        <w:t>2.1.2本磋商文件有下列情形之一的，磋商小组应当停止评审：</w:t>
      </w:r>
      <w:bookmarkEnd w:id="915"/>
    </w:p>
    <w:p w14:paraId="7175CF36">
      <w:pPr>
        <w:widowControl w:val="0"/>
        <w:spacing w:line="360" w:lineRule="auto"/>
        <w:ind w:firstLine="480" w:firstLineChars="200"/>
        <w:rPr>
          <w:rFonts w:hint="eastAsia" w:ascii="宋体" w:hAnsi="宋体" w:cs="宋体"/>
          <w:sz w:val="24"/>
          <w:szCs w:val="24"/>
          <w:highlight w:val="none"/>
        </w:rPr>
      </w:pPr>
      <w:bookmarkStart w:id="916" w:name="_Toc31959"/>
      <w:r>
        <w:rPr>
          <w:rFonts w:hint="eastAsia" w:ascii="宋体" w:hAnsi="宋体" w:cs="宋体"/>
          <w:sz w:val="24"/>
          <w:szCs w:val="24"/>
          <w:highlight w:val="none"/>
        </w:rPr>
        <w:t>（1）磋商文件的规定存在歧义、重大缺陷，导致评审无法进行的；</w:t>
      </w:r>
      <w:bookmarkEnd w:id="916"/>
    </w:p>
    <w:p w14:paraId="59CF5B5E">
      <w:pPr>
        <w:widowControl w:val="0"/>
        <w:spacing w:line="360" w:lineRule="auto"/>
        <w:ind w:firstLine="480" w:firstLineChars="200"/>
        <w:rPr>
          <w:rFonts w:hint="eastAsia" w:ascii="宋体" w:hAnsi="宋体" w:cs="宋体"/>
          <w:sz w:val="24"/>
          <w:szCs w:val="24"/>
          <w:highlight w:val="none"/>
        </w:rPr>
      </w:pPr>
      <w:bookmarkStart w:id="917" w:name="_Toc30543"/>
      <w:r>
        <w:rPr>
          <w:rFonts w:hint="eastAsia" w:ascii="宋体" w:hAnsi="宋体" w:cs="宋体"/>
          <w:sz w:val="24"/>
          <w:szCs w:val="24"/>
          <w:highlight w:val="none"/>
        </w:rPr>
        <w:t>（2）磋商文件明显以不合理条件对供应商实行差别待遇或者歧视待遇的；</w:t>
      </w:r>
      <w:bookmarkEnd w:id="917"/>
    </w:p>
    <w:p w14:paraId="22CB3B0E">
      <w:pPr>
        <w:widowControl w:val="0"/>
        <w:spacing w:line="360" w:lineRule="auto"/>
        <w:ind w:firstLine="480" w:firstLineChars="200"/>
        <w:rPr>
          <w:rFonts w:hint="eastAsia" w:ascii="宋体" w:hAnsi="宋体" w:cs="宋体"/>
          <w:sz w:val="24"/>
          <w:szCs w:val="24"/>
          <w:highlight w:val="none"/>
        </w:rPr>
      </w:pPr>
      <w:bookmarkStart w:id="918" w:name="_Toc17378"/>
      <w:r>
        <w:rPr>
          <w:rFonts w:hint="eastAsia" w:ascii="宋体" w:hAnsi="宋体" w:cs="宋体"/>
          <w:sz w:val="24"/>
          <w:szCs w:val="24"/>
          <w:highlight w:val="none"/>
        </w:rPr>
        <w:t>（3）磋商文件将供应商的资格条件列为评分因素的；</w:t>
      </w:r>
      <w:bookmarkEnd w:id="918"/>
    </w:p>
    <w:p w14:paraId="58827C14">
      <w:pPr>
        <w:widowControl w:val="0"/>
        <w:spacing w:line="360" w:lineRule="auto"/>
        <w:ind w:firstLine="480" w:firstLineChars="200"/>
        <w:rPr>
          <w:rFonts w:hint="eastAsia" w:ascii="宋体" w:hAnsi="宋体" w:cs="宋体"/>
          <w:sz w:val="24"/>
          <w:szCs w:val="24"/>
          <w:highlight w:val="none"/>
        </w:rPr>
      </w:pPr>
      <w:bookmarkStart w:id="919" w:name="_Toc10025"/>
      <w:r>
        <w:rPr>
          <w:rFonts w:hint="eastAsia" w:ascii="宋体" w:hAnsi="宋体" w:cs="宋体"/>
          <w:sz w:val="24"/>
          <w:szCs w:val="24"/>
          <w:highlight w:val="none"/>
        </w:rPr>
        <w:t>（4）磋商文件载明的成交原则不合法的；</w:t>
      </w:r>
      <w:bookmarkEnd w:id="919"/>
    </w:p>
    <w:p w14:paraId="47943F5D">
      <w:pPr>
        <w:widowControl w:val="0"/>
        <w:spacing w:line="360" w:lineRule="auto"/>
        <w:ind w:firstLine="480" w:firstLineChars="200"/>
        <w:rPr>
          <w:rFonts w:hint="eastAsia" w:ascii="宋体" w:hAnsi="宋体" w:cs="宋体"/>
          <w:sz w:val="24"/>
          <w:szCs w:val="24"/>
          <w:highlight w:val="none"/>
        </w:rPr>
      </w:pPr>
      <w:bookmarkStart w:id="920" w:name="_Toc1610"/>
      <w:r>
        <w:rPr>
          <w:rFonts w:hint="eastAsia" w:ascii="宋体" w:hAnsi="宋体" w:cs="宋体"/>
          <w:sz w:val="24"/>
          <w:szCs w:val="24"/>
          <w:highlight w:val="none"/>
        </w:rPr>
        <w:t>（5）磋商文件有违反国家其他有关强制性规定的情形。</w:t>
      </w:r>
      <w:bookmarkEnd w:id="920"/>
    </w:p>
    <w:p w14:paraId="2892D875">
      <w:pPr>
        <w:widowControl w:val="0"/>
        <w:spacing w:line="360" w:lineRule="auto"/>
        <w:ind w:firstLine="480" w:firstLineChars="200"/>
        <w:rPr>
          <w:rFonts w:hint="eastAsia" w:ascii="宋体" w:hAnsi="宋体" w:cs="宋体"/>
          <w:sz w:val="24"/>
          <w:szCs w:val="24"/>
          <w:highlight w:val="none"/>
        </w:rPr>
      </w:pPr>
      <w:bookmarkStart w:id="921" w:name="_Toc9076"/>
      <w:r>
        <w:rPr>
          <w:rFonts w:hint="eastAsia" w:ascii="宋体" w:hAnsi="宋体" w:cs="宋体"/>
          <w:sz w:val="24"/>
          <w:szCs w:val="24"/>
          <w:highlight w:val="none"/>
        </w:rPr>
        <w:t>2.1.3出现本条2.1.2规定应当停止评审情形的，磋商小组应当向采购组织单位书面说明情况。除2.1.2规定的情形外，磋商小组不得以任何方式和理由停止评审。</w:t>
      </w:r>
      <w:bookmarkEnd w:id="921"/>
    </w:p>
    <w:p w14:paraId="6C927874">
      <w:pPr>
        <w:spacing w:line="360" w:lineRule="auto"/>
        <w:ind w:firstLine="470" w:firstLineChars="196"/>
        <w:rPr>
          <w:rFonts w:hint="eastAsia" w:ascii="宋体" w:hAnsi="宋体" w:cs="宋体"/>
          <w:sz w:val="24"/>
          <w:szCs w:val="24"/>
          <w:highlight w:val="none"/>
        </w:rPr>
      </w:pPr>
      <w:bookmarkStart w:id="922" w:name="_Toc23556"/>
      <w:r>
        <w:rPr>
          <w:rFonts w:hint="eastAsia" w:ascii="宋体" w:hAnsi="宋体" w:cs="宋体"/>
          <w:sz w:val="24"/>
          <w:szCs w:val="24"/>
          <w:highlight w:val="none"/>
        </w:rPr>
        <w:t>2.2资格性审查。</w:t>
      </w:r>
    </w:p>
    <w:p w14:paraId="7BD82680">
      <w:pPr>
        <w:spacing w:line="360" w:lineRule="auto"/>
        <w:ind w:firstLine="470" w:firstLineChars="196"/>
        <w:rPr>
          <w:rFonts w:hint="eastAsia" w:ascii="宋体" w:hAnsi="宋体" w:cs="宋体"/>
          <w:sz w:val="24"/>
          <w:szCs w:val="24"/>
          <w:highlight w:val="none"/>
        </w:rPr>
      </w:pPr>
      <w:r>
        <w:rPr>
          <w:rFonts w:hint="eastAsia" w:ascii="宋体" w:hAnsi="宋体" w:cs="宋体"/>
          <w:sz w:val="24"/>
          <w:szCs w:val="24"/>
          <w:highlight w:val="none"/>
        </w:rPr>
        <w:t>2.2.1本项目需要磋商小组进行资格性检查。</w:t>
      </w:r>
    </w:p>
    <w:p w14:paraId="13CCC351">
      <w:pPr>
        <w:spacing w:line="360" w:lineRule="auto"/>
        <w:ind w:firstLine="470" w:firstLineChars="196"/>
        <w:rPr>
          <w:rFonts w:hint="eastAsia" w:ascii="宋体" w:hAnsi="宋体" w:cs="宋体"/>
          <w:sz w:val="24"/>
          <w:szCs w:val="24"/>
          <w:highlight w:val="none"/>
        </w:rPr>
      </w:pPr>
      <w:r>
        <w:rPr>
          <w:rFonts w:hint="eastAsia" w:ascii="宋体" w:hAnsi="宋体" w:cs="宋体"/>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EEF0F8">
      <w:pPr>
        <w:spacing w:line="360" w:lineRule="auto"/>
        <w:ind w:firstLine="470" w:firstLineChars="196"/>
        <w:rPr>
          <w:rFonts w:hint="eastAsia" w:ascii="宋体" w:hAnsi="宋体" w:cs="宋体"/>
          <w:sz w:val="24"/>
          <w:szCs w:val="24"/>
          <w:highlight w:val="none"/>
        </w:rPr>
      </w:pPr>
      <w:r>
        <w:rPr>
          <w:rFonts w:hint="eastAsia" w:ascii="宋体" w:hAnsi="宋体" w:cs="宋体"/>
          <w:sz w:val="24"/>
          <w:szCs w:val="24"/>
          <w:highlight w:val="none"/>
        </w:rPr>
        <w:t>2.2.2资格性审查结束后，没有通过资格审查的供应商，磋商小组应当在资格审查表中说明原因。</w:t>
      </w:r>
    </w:p>
    <w:p w14:paraId="36054CD5">
      <w:pPr>
        <w:spacing w:line="360" w:lineRule="auto"/>
        <w:ind w:firstLine="470" w:firstLineChars="196"/>
        <w:rPr>
          <w:rFonts w:hint="eastAsia" w:ascii="宋体" w:hAnsi="宋体" w:cs="宋体"/>
          <w:sz w:val="24"/>
          <w:szCs w:val="24"/>
          <w:highlight w:val="none"/>
        </w:rPr>
      </w:pPr>
      <w:r>
        <w:rPr>
          <w:rFonts w:hint="eastAsia" w:ascii="宋体" w:hAnsi="宋体" w:cs="宋体"/>
          <w:sz w:val="24"/>
          <w:szCs w:val="24"/>
          <w:highlight w:val="none"/>
        </w:rPr>
        <w:t>2.2.3磋商小组应依据磋商文件规定的实质性要求，对符合资格的响应文件进行有效性、完整性和响应程度审查，以确定参加磋商的供应商名单。</w:t>
      </w:r>
    </w:p>
    <w:p w14:paraId="5AB09BD8">
      <w:pPr>
        <w:spacing w:line="360" w:lineRule="auto"/>
        <w:ind w:firstLine="470" w:firstLineChars="196"/>
        <w:rPr>
          <w:rFonts w:hint="eastAsia" w:ascii="宋体" w:hAnsi="宋体" w:cs="宋体"/>
          <w:sz w:val="24"/>
          <w:szCs w:val="24"/>
          <w:highlight w:val="none"/>
        </w:rPr>
      </w:pPr>
      <w:r>
        <w:rPr>
          <w:rFonts w:hint="eastAsia" w:ascii="宋体" w:hAnsi="宋体" w:cs="宋体"/>
          <w:sz w:val="24"/>
          <w:szCs w:val="24"/>
          <w:highlight w:val="none"/>
        </w:rPr>
        <w:t>2.2.4采购人宣布未通过资格性审查的供应商名单时，应当告知供应商未通过审查的原因。</w:t>
      </w:r>
    </w:p>
    <w:p w14:paraId="7A3726EB">
      <w:pPr>
        <w:spacing w:line="360" w:lineRule="auto"/>
        <w:ind w:firstLine="470" w:firstLineChars="196"/>
        <w:rPr>
          <w:rFonts w:hint="eastAsia" w:ascii="宋体" w:hAnsi="宋体" w:cs="宋体"/>
          <w:sz w:val="24"/>
          <w:szCs w:val="24"/>
          <w:highlight w:val="none"/>
        </w:rPr>
      </w:pPr>
      <w:r>
        <w:rPr>
          <w:rFonts w:hint="eastAsia" w:ascii="宋体" w:hAnsi="宋体" w:cs="宋体"/>
          <w:sz w:val="24"/>
          <w:szCs w:val="24"/>
          <w:highlight w:val="none"/>
        </w:rPr>
        <w:t>2.3通过资格性审查的供应商不足3家的，终止本次采购活动，并发布终止采购活动公告。</w:t>
      </w:r>
    </w:p>
    <w:p w14:paraId="6D2FE285">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2.4磋商。</w:t>
      </w:r>
      <w:bookmarkEnd w:id="922"/>
    </w:p>
    <w:p w14:paraId="40927C6D">
      <w:pPr>
        <w:widowControl w:val="0"/>
        <w:spacing w:line="360" w:lineRule="auto"/>
        <w:ind w:firstLine="480" w:firstLineChars="200"/>
        <w:rPr>
          <w:rFonts w:hint="eastAsia" w:ascii="宋体" w:hAnsi="宋体" w:cs="宋体"/>
          <w:sz w:val="24"/>
          <w:szCs w:val="24"/>
          <w:highlight w:val="none"/>
        </w:rPr>
      </w:pPr>
      <w:bookmarkStart w:id="923" w:name="_Toc801"/>
      <w:r>
        <w:rPr>
          <w:rFonts w:hint="eastAsia" w:ascii="宋体" w:hAnsi="宋体" w:cs="宋体"/>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923"/>
    </w:p>
    <w:p w14:paraId="05AE004D">
      <w:pPr>
        <w:widowControl w:val="0"/>
        <w:spacing w:line="360" w:lineRule="auto"/>
        <w:ind w:firstLine="480" w:firstLineChars="200"/>
        <w:rPr>
          <w:rFonts w:hint="eastAsia" w:ascii="宋体" w:hAnsi="宋体" w:cs="宋体"/>
          <w:sz w:val="24"/>
          <w:szCs w:val="24"/>
          <w:highlight w:val="none"/>
        </w:rPr>
      </w:pPr>
      <w:bookmarkStart w:id="924" w:name="_Toc22671"/>
      <w:r>
        <w:rPr>
          <w:rFonts w:hint="eastAsia" w:ascii="宋体" w:hAnsi="宋体" w:cs="宋体"/>
          <w:sz w:val="24"/>
          <w:szCs w:val="24"/>
          <w:highlight w:val="none"/>
        </w:rPr>
        <w:t>2.4.2每轮磋商开始前，磋商小组应根据磋商文件的规定，并结合各供应商的响应文件拟定磋商内容。</w:t>
      </w:r>
      <w:bookmarkEnd w:id="924"/>
    </w:p>
    <w:p w14:paraId="243C46B7">
      <w:pPr>
        <w:widowControl w:val="0"/>
        <w:spacing w:line="360" w:lineRule="auto"/>
        <w:ind w:firstLine="480" w:firstLineChars="200"/>
        <w:rPr>
          <w:rFonts w:hint="eastAsia" w:ascii="宋体" w:hAnsi="宋体" w:cs="宋体"/>
          <w:sz w:val="24"/>
          <w:szCs w:val="24"/>
          <w:highlight w:val="none"/>
        </w:rPr>
      </w:pPr>
      <w:bookmarkStart w:id="925" w:name="_Toc96"/>
      <w:r>
        <w:rPr>
          <w:rFonts w:hint="eastAsia" w:ascii="宋体" w:hAnsi="宋体" w:cs="宋体"/>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bookmarkEnd w:id="925"/>
    </w:p>
    <w:p w14:paraId="312E3F63">
      <w:pPr>
        <w:widowControl w:val="0"/>
        <w:spacing w:line="360" w:lineRule="auto"/>
        <w:ind w:firstLine="480" w:firstLineChars="200"/>
        <w:rPr>
          <w:rFonts w:hint="eastAsia" w:ascii="宋体" w:hAnsi="宋体" w:cs="宋体"/>
          <w:sz w:val="24"/>
          <w:szCs w:val="24"/>
          <w:highlight w:val="none"/>
        </w:rPr>
      </w:pPr>
      <w:bookmarkStart w:id="926" w:name="_Toc14158"/>
      <w:r>
        <w:rPr>
          <w:rFonts w:hint="eastAsia" w:ascii="宋体" w:hAnsi="宋体" w:cs="宋体"/>
          <w:sz w:val="24"/>
          <w:szCs w:val="24"/>
          <w:highlight w:val="none"/>
        </w:rPr>
        <w:t>2.4.4对磋商文件作出的实质性变动是磋商文件的有效组成部分，磋商小组应当及时以书面形式同时通知所有参加磋商的供应商。</w:t>
      </w:r>
      <w:bookmarkEnd w:id="926"/>
    </w:p>
    <w:p w14:paraId="5362719D">
      <w:pPr>
        <w:widowControl w:val="0"/>
        <w:spacing w:line="360" w:lineRule="auto"/>
        <w:ind w:firstLine="480" w:firstLineChars="200"/>
        <w:rPr>
          <w:rFonts w:hint="eastAsia" w:ascii="宋体" w:hAnsi="宋体" w:cs="宋体"/>
          <w:sz w:val="24"/>
          <w:szCs w:val="24"/>
          <w:highlight w:val="none"/>
        </w:rPr>
      </w:pPr>
      <w:bookmarkStart w:id="927" w:name="_Toc21325"/>
      <w:r>
        <w:rPr>
          <w:rFonts w:hint="eastAsia" w:ascii="宋体" w:hAnsi="宋体" w:cs="宋体"/>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927"/>
    </w:p>
    <w:p w14:paraId="2E40C7B7">
      <w:pPr>
        <w:pStyle w:val="10"/>
        <w:widowControl w:val="0"/>
        <w:snapToGrid w:val="0"/>
        <w:spacing w:line="360" w:lineRule="auto"/>
        <w:ind w:firstLine="480" w:firstLineChars="200"/>
        <w:rPr>
          <w:rFonts w:hint="eastAsia" w:hAnsi="宋体"/>
          <w:sz w:val="24"/>
          <w:szCs w:val="24"/>
          <w:highlight w:val="none"/>
        </w:rPr>
      </w:pPr>
      <w:r>
        <w:rPr>
          <w:rFonts w:hint="eastAsia" w:hAnsi="宋体"/>
          <w:sz w:val="24"/>
          <w:szCs w:val="24"/>
          <w:highlight w:val="none"/>
        </w:rPr>
        <w:t>2.4.6</w:t>
      </w:r>
      <w:r>
        <w:rPr>
          <w:rFonts w:hint="eastAsia" w:hAnsi="宋体"/>
          <w:sz w:val="24"/>
          <w:szCs w:val="24"/>
          <w:highlight w:val="none"/>
          <w:lang w:val="zh-CN"/>
        </w:rPr>
        <w:t>有效性、完整性和响应程度审查</w:t>
      </w:r>
    </w:p>
    <w:p w14:paraId="32F55CA3">
      <w:pPr>
        <w:pStyle w:val="10"/>
        <w:widowControl w:val="0"/>
        <w:snapToGrid w:val="0"/>
        <w:spacing w:line="360" w:lineRule="auto"/>
        <w:ind w:firstLine="480" w:firstLineChars="200"/>
        <w:rPr>
          <w:rFonts w:hint="eastAsia" w:hAnsi="宋体"/>
          <w:sz w:val="24"/>
          <w:szCs w:val="24"/>
          <w:highlight w:val="none"/>
        </w:rPr>
      </w:pPr>
      <w:r>
        <w:rPr>
          <w:rFonts w:hint="eastAsia" w:hAnsi="宋体"/>
          <w:sz w:val="24"/>
          <w:szCs w:val="24"/>
          <w:highlight w:val="none"/>
        </w:rPr>
        <w:t>2.4.6.1磋商过程中，</w:t>
      </w:r>
      <w:r>
        <w:rPr>
          <w:rFonts w:hint="eastAsia" w:hAnsi="宋体"/>
          <w:sz w:val="24"/>
          <w:szCs w:val="24"/>
          <w:highlight w:val="none"/>
          <w:lang w:val="zh-CN"/>
        </w:rPr>
        <w:t>磋商小组对供应商首次递交的响应文件进行审查，审查中发现供应商首次响应文件有下列情况之一的，应按照无效响应文件处理：</w:t>
      </w:r>
    </w:p>
    <w:p w14:paraId="0F2CC959">
      <w:pPr>
        <w:pStyle w:val="10"/>
        <w:widowControl w:val="0"/>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lang w:val="zh-CN"/>
        </w:rPr>
        <w:t>响应文件的语言、报价货币、知识产权、响应文件有效期不符合采购文件的规定，影响磋商小组评判的；</w:t>
      </w:r>
    </w:p>
    <w:p w14:paraId="50A2739F">
      <w:pPr>
        <w:pStyle w:val="10"/>
        <w:widowControl w:val="0"/>
        <w:snapToGrid w:val="0"/>
        <w:spacing w:line="360" w:lineRule="auto"/>
        <w:ind w:firstLine="480" w:firstLineChars="200"/>
        <w:rPr>
          <w:rFonts w:hint="eastAsia" w:hAnsi="宋体"/>
          <w:sz w:val="24"/>
          <w:szCs w:val="24"/>
          <w:highlight w:val="none"/>
        </w:rPr>
      </w:pPr>
      <w:r>
        <w:rPr>
          <w:rFonts w:hint="eastAsia" w:hAnsi="宋体"/>
          <w:sz w:val="24"/>
          <w:szCs w:val="24"/>
          <w:highlight w:val="none"/>
          <w:lang w:val="zh-CN"/>
        </w:rPr>
        <w:t>2.</w:t>
      </w:r>
      <w:r>
        <w:rPr>
          <w:rFonts w:hint="eastAsia" w:hAnsi="宋体"/>
          <w:sz w:val="24"/>
          <w:szCs w:val="24"/>
          <w:highlight w:val="none"/>
        </w:rPr>
        <w:t>4</w:t>
      </w:r>
      <w:r>
        <w:rPr>
          <w:rFonts w:hint="eastAsia" w:hAnsi="宋体"/>
          <w:sz w:val="24"/>
          <w:szCs w:val="24"/>
          <w:highlight w:val="none"/>
          <w:lang w:val="zh-CN"/>
        </w:rPr>
        <w:t>.6.2经最终磋商后，响应文件仍有下列情况之一的，应按照无效响应文件处理：</w:t>
      </w:r>
    </w:p>
    <w:p w14:paraId="2359B57E">
      <w:pPr>
        <w:pStyle w:val="10"/>
        <w:widowControl w:val="0"/>
        <w:snapToGrid w:val="0"/>
        <w:spacing w:line="360" w:lineRule="auto"/>
        <w:ind w:firstLine="480" w:firstLineChars="200"/>
        <w:rPr>
          <w:rFonts w:hint="eastAsia" w:hAnsi="宋体"/>
          <w:sz w:val="24"/>
          <w:szCs w:val="24"/>
          <w:highlight w:val="none"/>
        </w:rPr>
      </w:pPr>
      <w:r>
        <w:rPr>
          <w:rFonts w:hint="eastAsia" w:hAnsi="宋体"/>
          <w:sz w:val="24"/>
          <w:szCs w:val="24"/>
          <w:highlight w:val="none"/>
        </w:rPr>
        <w:t>（1）</w:t>
      </w:r>
      <w:r>
        <w:rPr>
          <w:rFonts w:hint="eastAsia" w:hAnsi="宋体"/>
          <w:sz w:val="24"/>
          <w:szCs w:val="24"/>
          <w:highlight w:val="none"/>
          <w:lang w:val="zh-CN"/>
        </w:rPr>
        <w:t>响应文件仍不能实质响应采购文件的实质性要求的；</w:t>
      </w:r>
    </w:p>
    <w:p w14:paraId="394DAA53">
      <w:pPr>
        <w:pStyle w:val="10"/>
        <w:widowControl w:val="0"/>
        <w:snapToGrid w:val="0"/>
        <w:spacing w:line="360" w:lineRule="auto"/>
        <w:ind w:firstLine="480" w:firstLineChars="200"/>
        <w:rPr>
          <w:rFonts w:hint="eastAsia" w:hAnsi="宋体"/>
          <w:sz w:val="24"/>
          <w:szCs w:val="24"/>
          <w:highlight w:val="none"/>
        </w:rPr>
      </w:pPr>
      <w:r>
        <w:rPr>
          <w:rFonts w:hint="eastAsia" w:hAnsi="宋体"/>
          <w:sz w:val="24"/>
          <w:szCs w:val="24"/>
          <w:highlight w:val="none"/>
        </w:rPr>
        <w:t>（2）响应</w:t>
      </w:r>
      <w:r>
        <w:rPr>
          <w:rFonts w:hint="eastAsia" w:hAnsi="宋体"/>
          <w:sz w:val="24"/>
          <w:szCs w:val="24"/>
          <w:highlight w:val="none"/>
          <w:lang w:eastAsia="zh-CN"/>
        </w:rPr>
        <w:t>文件</w:t>
      </w:r>
      <w:r>
        <w:rPr>
          <w:rFonts w:hint="eastAsia" w:hAnsi="宋体"/>
          <w:sz w:val="24"/>
          <w:szCs w:val="24"/>
          <w:highlight w:val="none"/>
        </w:rPr>
        <w:t>中有磋商文件规定的其他无效响应情形的。</w:t>
      </w:r>
    </w:p>
    <w:p w14:paraId="4F27BFA1">
      <w:pPr>
        <w:pStyle w:val="10"/>
        <w:widowControl w:val="0"/>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lang w:val="zh-CN"/>
        </w:rPr>
        <w:t>2.</w:t>
      </w:r>
      <w:r>
        <w:rPr>
          <w:rFonts w:hint="eastAsia" w:hAnsi="宋体"/>
          <w:sz w:val="24"/>
          <w:szCs w:val="24"/>
          <w:highlight w:val="none"/>
        </w:rPr>
        <w:t>4</w:t>
      </w:r>
      <w:r>
        <w:rPr>
          <w:rFonts w:hint="eastAsia" w:hAnsi="宋体"/>
          <w:sz w:val="24"/>
          <w:szCs w:val="24"/>
          <w:highlight w:val="none"/>
          <w:lang w:val="zh-CN"/>
        </w:rPr>
        <w:t>.6.3磋商小组对响应文件签署、盖章等进行审查过程中，有下列情形的，磋商小组应当评定为不影响整个响应文件的有效性和采购活动公平竞争，并通过响应文件的有效性审查：</w:t>
      </w:r>
    </w:p>
    <w:p w14:paraId="5ABFCB4C">
      <w:pPr>
        <w:pStyle w:val="10"/>
        <w:widowControl w:val="0"/>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lang w:val="zh-CN"/>
        </w:rPr>
        <w:t>（</w:t>
      </w:r>
      <w:r>
        <w:rPr>
          <w:rFonts w:hint="eastAsia" w:hAnsi="宋体"/>
          <w:sz w:val="24"/>
          <w:szCs w:val="24"/>
          <w:highlight w:val="none"/>
        </w:rPr>
        <w:t>1</w:t>
      </w:r>
      <w:r>
        <w:rPr>
          <w:rFonts w:hint="eastAsia" w:hAnsi="宋体"/>
          <w:sz w:val="24"/>
          <w:szCs w:val="24"/>
          <w:highlight w:val="none"/>
          <w:lang w:val="zh-CN"/>
        </w:rPr>
        <w:t>）响应文件存在个别地方（总数不能超过2个）没有法定代表人/单位负责人签字，但有法定代表人/单位负责人的私人印章或者有效授权代理人签字的，但法定代表人/单位负责人授权书除外；</w:t>
      </w:r>
    </w:p>
    <w:p w14:paraId="44489947">
      <w:pPr>
        <w:pStyle w:val="10"/>
        <w:widowControl w:val="0"/>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lang w:val="zh-CN"/>
        </w:rPr>
        <w:t>（</w:t>
      </w:r>
      <w:r>
        <w:rPr>
          <w:rFonts w:hint="eastAsia" w:hAnsi="宋体"/>
          <w:sz w:val="24"/>
          <w:szCs w:val="24"/>
          <w:highlight w:val="none"/>
        </w:rPr>
        <w:t>2</w:t>
      </w:r>
      <w:r>
        <w:rPr>
          <w:rFonts w:hint="eastAsia" w:hAnsi="宋体"/>
          <w:sz w:val="24"/>
          <w:szCs w:val="24"/>
          <w:highlight w:val="none"/>
          <w:lang w:val="zh-CN"/>
        </w:rPr>
        <w:t>）响应文件除采购文件明确要求加盖单位(法人)公章的以外，其他地方以相关专用章加盖的；</w:t>
      </w:r>
    </w:p>
    <w:p w14:paraId="5A7D8958">
      <w:pPr>
        <w:pStyle w:val="10"/>
        <w:widowControl w:val="0"/>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lang w:val="zh-CN"/>
        </w:rPr>
        <w:t>（</w:t>
      </w:r>
      <w:r>
        <w:rPr>
          <w:rFonts w:hint="eastAsia" w:hAnsi="宋体"/>
          <w:sz w:val="24"/>
          <w:szCs w:val="24"/>
          <w:highlight w:val="none"/>
        </w:rPr>
        <w:t>3</w:t>
      </w:r>
      <w:r>
        <w:rPr>
          <w:rFonts w:hint="eastAsia" w:hAnsi="宋体"/>
          <w:sz w:val="24"/>
          <w:szCs w:val="24"/>
          <w:highlight w:val="none"/>
          <w:lang w:val="zh-CN"/>
        </w:rPr>
        <w:t>）以骑缝章的形式代替响应文件内容逐页盖章的（但是骑缝章模糊不清，印章名称无法辨认的除外）。</w:t>
      </w:r>
    </w:p>
    <w:p w14:paraId="60238263">
      <w:pPr>
        <w:pStyle w:val="10"/>
        <w:widowControl w:val="0"/>
        <w:snapToGrid w:val="0"/>
        <w:spacing w:line="360" w:lineRule="auto"/>
        <w:ind w:firstLine="480" w:firstLineChars="200"/>
        <w:rPr>
          <w:rFonts w:hint="eastAsia" w:hAnsi="宋体"/>
          <w:sz w:val="24"/>
          <w:szCs w:val="24"/>
          <w:highlight w:val="none"/>
        </w:rPr>
      </w:pPr>
      <w:r>
        <w:rPr>
          <w:rFonts w:hint="eastAsia" w:hAnsi="宋体"/>
          <w:sz w:val="24"/>
          <w:szCs w:val="24"/>
          <w:highlight w:val="none"/>
        </w:rPr>
        <w:t>2.4.6.4磋商小组</w:t>
      </w:r>
      <w:r>
        <w:rPr>
          <w:rFonts w:hint="eastAsia" w:hAnsi="宋体"/>
          <w:sz w:val="24"/>
          <w:szCs w:val="24"/>
          <w:highlight w:val="none"/>
          <w:lang w:val="zh-CN"/>
        </w:rPr>
        <w:t>对所有响应文件的有效性、完整性和响应程度进行审查</w:t>
      </w:r>
      <w:r>
        <w:rPr>
          <w:rFonts w:hint="eastAsia" w:hAnsi="宋体"/>
          <w:sz w:val="24"/>
          <w:szCs w:val="24"/>
          <w:highlight w:val="none"/>
        </w:rPr>
        <w:t>后，向采购</w:t>
      </w:r>
      <w:r>
        <w:rPr>
          <w:rFonts w:hint="eastAsia" w:hAnsi="宋体"/>
          <w:sz w:val="24"/>
          <w:szCs w:val="24"/>
          <w:highlight w:val="none"/>
          <w:lang w:val="zh-CN"/>
        </w:rPr>
        <w:t>人</w:t>
      </w:r>
      <w:r>
        <w:rPr>
          <w:rFonts w:hint="eastAsia" w:hAnsi="宋体"/>
          <w:sz w:val="24"/>
          <w:szCs w:val="24"/>
          <w:highlight w:val="none"/>
        </w:rPr>
        <w:t>出具</w:t>
      </w:r>
      <w:r>
        <w:rPr>
          <w:rFonts w:hint="eastAsia" w:hAnsi="宋体"/>
          <w:sz w:val="24"/>
          <w:szCs w:val="24"/>
          <w:highlight w:val="none"/>
          <w:lang w:val="zh-CN"/>
        </w:rPr>
        <w:t>有效性、完整性和响应程度</w:t>
      </w:r>
      <w:r>
        <w:rPr>
          <w:rFonts w:hint="eastAsia" w:hAnsi="宋体"/>
          <w:sz w:val="24"/>
          <w:szCs w:val="24"/>
          <w:highlight w:val="none"/>
        </w:rPr>
        <w:t>审查报告，确定继续磋商的供应商名单。没有通过</w:t>
      </w:r>
      <w:r>
        <w:rPr>
          <w:rFonts w:hint="eastAsia" w:hAnsi="宋体"/>
          <w:sz w:val="24"/>
          <w:szCs w:val="24"/>
          <w:highlight w:val="none"/>
          <w:lang w:val="zh-CN"/>
        </w:rPr>
        <w:t>有效性、完整性和响应程度</w:t>
      </w:r>
      <w:r>
        <w:rPr>
          <w:rFonts w:hint="eastAsia" w:hAnsi="宋体"/>
          <w:sz w:val="24"/>
          <w:szCs w:val="24"/>
          <w:highlight w:val="none"/>
        </w:rPr>
        <w:t>审查的供应商，磋商小组应在</w:t>
      </w:r>
      <w:r>
        <w:rPr>
          <w:rFonts w:hint="eastAsia" w:hAnsi="宋体"/>
          <w:sz w:val="24"/>
          <w:szCs w:val="24"/>
          <w:highlight w:val="none"/>
          <w:lang w:val="zh-CN"/>
        </w:rPr>
        <w:t>有效性、完整性和响应程度</w:t>
      </w:r>
      <w:r>
        <w:rPr>
          <w:rFonts w:hint="eastAsia" w:hAnsi="宋体"/>
          <w:sz w:val="24"/>
          <w:szCs w:val="24"/>
          <w:highlight w:val="none"/>
        </w:rPr>
        <w:t>审查报告中说明原因。</w:t>
      </w:r>
    </w:p>
    <w:p w14:paraId="40DB1985">
      <w:pPr>
        <w:widowControl w:val="0"/>
        <w:spacing w:line="360" w:lineRule="auto"/>
        <w:ind w:firstLine="480" w:firstLineChars="200"/>
        <w:rPr>
          <w:rFonts w:hint="eastAsia" w:ascii="宋体" w:hAnsi="宋体" w:cs="宋体"/>
          <w:sz w:val="24"/>
          <w:szCs w:val="24"/>
          <w:highlight w:val="none"/>
        </w:rPr>
      </w:pPr>
      <w:bookmarkStart w:id="928" w:name="_Toc6437"/>
      <w:r>
        <w:rPr>
          <w:rFonts w:hint="eastAsia" w:ascii="宋体" w:hAnsi="宋体" w:cs="宋体"/>
          <w:sz w:val="24"/>
          <w:szCs w:val="24"/>
          <w:highlight w:val="none"/>
        </w:rPr>
        <w:t>2.4.7磋商过程中，磋商的任何一方不得透露与磋商有关的其他供应商的技术资料、价格和其他信息。</w:t>
      </w:r>
      <w:bookmarkEnd w:id="928"/>
    </w:p>
    <w:p w14:paraId="74A4C357">
      <w:pPr>
        <w:widowControl w:val="0"/>
        <w:spacing w:line="360" w:lineRule="auto"/>
        <w:ind w:firstLine="480" w:firstLineChars="200"/>
        <w:rPr>
          <w:rFonts w:hint="eastAsia" w:ascii="宋体" w:hAnsi="宋体" w:cs="宋体"/>
          <w:sz w:val="24"/>
          <w:szCs w:val="24"/>
          <w:highlight w:val="none"/>
        </w:rPr>
      </w:pPr>
      <w:bookmarkStart w:id="929" w:name="_Toc9618"/>
      <w:r>
        <w:rPr>
          <w:rFonts w:hint="eastAsia" w:ascii="宋体" w:hAnsi="宋体" w:cs="宋体"/>
          <w:sz w:val="24"/>
          <w:szCs w:val="24"/>
          <w:highlight w:val="none"/>
        </w:rPr>
        <w:t>2.4.8磋商过程中，磋商小组发现或者知晓供应商存在违法、违纪行为的，磋商小组应当将该供应商响应文件作无效处理，不允许其提交最后报价。</w:t>
      </w:r>
      <w:bookmarkEnd w:id="929"/>
    </w:p>
    <w:p w14:paraId="3821DA46">
      <w:pPr>
        <w:widowControl w:val="0"/>
        <w:spacing w:line="360" w:lineRule="auto"/>
        <w:ind w:firstLine="480" w:firstLineChars="200"/>
        <w:rPr>
          <w:rFonts w:hint="eastAsia" w:ascii="宋体" w:hAnsi="宋体" w:cs="宋体"/>
          <w:sz w:val="24"/>
          <w:szCs w:val="24"/>
          <w:highlight w:val="none"/>
        </w:rPr>
      </w:pPr>
      <w:bookmarkStart w:id="930" w:name="_Toc9249"/>
      <w:r>
        <w:rPr>
          <w:rFonts w:hint="eastAsia" w:ascii="宋体" w:hAnsi="宋体" w:cs="宋体"/>
          <w:sz w:val="24"/>
          <w:szCs w:val="24"/>
          <w:highlight w:val="none"/>
        </w:rPr>
        <w:t>2.4.9磋商完成后，磋商小组应出具磋商情况记录表，磋商情况记录表需包含磋商内容、磋商意见、实质性变动内容等。</w:t>
      </w:r>
      <w:bookmarkEnd w:id="930"/>
    </w:p>
    <w:p w14:paraId="3C45AD62">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2.5报价</w:t>
      </w:r>
    </w:p>
    <w:p w14:paraId="4BF1878E">
      <w:pPr>
        <w:pStyle w:val="10"/>
        <w:widowControl w:val="0"/>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rPr>
        <w:t>2.5.1除首次响应文件中的报价以外，供应商报价采用现场报价。</w:t>
      </w:r>
    </w:p>
    <w:p w14:paraId="0B95D0B1">
      <w:pPr>
        <w:pStyle w:val="29"/>
        <w:spacing w:line="360" w:lineRule="auto"/>
        <w:ind w:left="38" w:firstLine="480" w:firstLineChars="200"/>
        <w:rPr>
          <w:rFonts w:hint="eastAsia" w:cs="宋体"/>
          <w:highlight w:val="none"/>
        </w:rPr>
      </w:pPr>
      <w:r>
        <w:rPr>
          <w:rFonts w:hint="eastAsia" w:cs="宋体"/>
          <w:highlight w:val="none"/>
        </w:rPr>
        <w:t>2.5.2磋商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2DE8862A">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2.5.3参与报价的供应商按磋商小组要求进行报价。最后报价超过竞争性磋商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2702119F">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2.5.4供应商报价应当由法定代表人/主要负责人/本人或其授权代表签字确认（注：供应商为法人的，应当由其法定代表人或者授权代表签字确认；如供应商为其他组织的，应当由其主要负责人或者授权代表签字确认；如供应商为自然人的，应当由其本人或者授权代表签字确认）或加盖公章。报价是供应商响应文件的有效组成部分。</w:t>
      </w:r>
    </w:p>
    <w:p w14:paraId="24F6F480">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2.5.5采购人在磋商文件中直接确定了采购项目采购价格的，供应商的报价应当按照磋商文件中</w:t>
      </w:r>
      <w:r>
        <w:rPr>
          <w:rFonts w:hint="eastAsia" w:ascii="宋体" w:hAnsi="宋体" w:cs="宋体"/>
          <w:sz w:val="24"/>
          <w:szCs w:val="24"/>
          <w:highlight w:val="none"/>
          <w:lang w:eastAsia="zh-CN"/>
        </w:rPr>
        <w:t>确定</w:t>
      </w:r>
      <w:r>
        <w:rPr>
          <w:rFonts w:hint="eastAsia" w:ascii="宋体" w:hAnsi="宋体" w:cs="宋体"/>
          <w:sz w:val="24"/>
          <w:szCs w:val="24"/>
          <w:highlight w:val="none"/>
        </w:rPr>
        <w:t>的采购项目采购价格进行报价，不得增加或者减少，否则其报价无效，其响应文件将作为无效处理。</w:t>
      </w:r>
    </w:p>
    <w:p w14:paraId="3BBAEE8A">
      <w:pPr>
        <w:pStyle w:val="29"/>
        <w:spacing w:line="360" w:lineRule="auto"/>
        <w:ind w:left="38" w:firstLine="480" w:firstLineChars="200"/>
        <w:rPr>
          <w:rFonts w:ascii="宋体" w:hAnsi="宋体" w:cs="宋体"/>
          <w:sz w:val="24"/>
          <w:szCs w:val="24"/>
          <w:highlight w:val="none"/>
        </w:rPr>
      </w:pPr>
      <w:r>
        <w:rPr>
          <w:rFonts w:hint="eastAsia" w:cs="宋体"/>
          <w:highlight w:val="none"/>
        </w:rPr>
        <w:t>2.5.6</w:t>
      </w:r>
      <w:r>
        <w:rPr>
          <w:rFonts w:hint="eastAsia" w:cs="宋体"/>
          <w:color w:val="FF0000"/>
          <w:highlight w:val="none"/>
        </w:rPr>
        <w:t>最后磋商小组应根据磋商文件第二章供应商须知第9条要求进行</w:t>
      </w:r>
      <w:r>
        <w:rPr>
          <w:rFonts w:hint="eastAsia"/>
          <w:color w:val="FF0000"/>
          <w:highlight w:val="none"/>
        </w:rPr>
        <w:t>低于成本价</w:t>
      </w:r>
      <w:r>
        <w:rPr>
          <w:rFonts w:hint="eastAsia" w:cs="宋体"/>
          <w:color w:val="FF0000"/>
          <w:highlight w:val="none"/>
        </w:rPr>
        <w:t>评审，经评审供应商报价低于成本价的，应按照无效响应文件处理。不允许进入综合评分，并书面告知供应商，说明理由。</w:t>
      </w:r>
    </w:p>
    <w:p w14:paraId="7BFF2F69">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2.6比较与评价。由磋商小组采用综合评分法对提交最后报价的供应商的响应文件和最后报价进行综合评分，具体要求详见本章综合评分部分。</w:t>
      </w:r>
    </w:p>
    <w:p w14:paraId="6B8D627D">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推荐成交候选供应商。磋商小组应当根据综合评分情况，按照评审得分由高到低顺序推荐3家以上成交候选供应商，并编写磋商报告。评审得分相同的，按照最后报价由低到高的顺序推荐。评审得分且最后报价相同的，由采购人选择成交供应商。</w:t>
      </w:r>
    </w:p>
    <w:p w14:paraId="043ADF8F">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2.8磋商小组复核。磋商小组评分汇总结束后，磋商小组应当进行评审复核，对拟推荐为成交候选供应商的、报价最低的、供应商资格审查未通过的、供应商响应文件作无效处理的重点复核。</w:t>
      </w:r>
    </w:p>
    <w:p w14:paraId="78022A00">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2.9采购组织单位现场复核评审结果。</w:t>
      </w:r>
    </w:p>
    <w:p w14:paraId="6FF1B15B">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2.9.1评审结果汇总完成后，磋商小组拟出具磋商评审报告前，采购人应当组织2名以上的本单位工作人员，在采购现场监督人员的监督之下，依据有关的法律制度和磋商文件对评审结果进行复核，出具复核报告，存在下列情形之一的，采购人应当根据情况书面建议磋商小组现场修改评审结果：</w:t>
      </w:r>
    </w:p>
    <w:p w14:paraId="46160C1A">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（1）分值汇总计算错误的；</w:t>
      </w:r>
    </w:p>
    <w:p w14:paraId="5EAB138A">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（2）分项评分超出评分标准范围的；</w:t>
      </w:r>
    </w:p>
    <w:p w14:paraId="7DF805F4">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（3）客观评分不一致的。</w:t>
      </w:r>
    </w:p>
    <w:p w14:paraId="382D7FF9">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存在本条上述情形的，由磋商小组自主决定是否采纳采购人的书面建议，并承担独立评审责任。磋商小组采纳采购人书面建议的，应当按照规定现场修改评审结果或者重新评审，并在磋商报告中详细记载有关事宜；不采纳采购人书面建议的，应当书面说明理由。采购人书面建议未被磋商小组采纳的，应当</w:t>
      </w:r>
      <w:r>
        <w:rPr>
          <w:rFonts w:hint="eastAsia" w:ascii="宋体" w:hAnsi="宋体" w:cs="宋体"/>
          <w:sz w:val="24"/>
          <w:szCs w:val="24"/>
          <w:highlight w:val="none"/>
          <w:lang w:eastAsia="zh-CN"/>
        </w:rPr>
        <w:t>按照</w:t>
      </w:r>
      <w:r>
        <w:rPr>
          <w:rFonts w:hint="eastAsia" w:ascii="宋体" w:hAnsi="宋体" w:cs="宋体"/>
          <w:sz w:val="24"/>
          <w:szCs w:val="24"/>
          <w:highlight w:val="none"/>
        </w:rPr>
        <w:t>规定程序要求继续组织实施采购活动，不得擅自中止采购活动。采购人认为磋商小组评审结果不合法的，应当书面报告采购项目同级财政部门。</w:t>
      </w:r>
    </w:p>
    <w:p w14:paraId="3B4B1F47">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采购人复核过程中，磋商小组成员不得离开评审现场。</w:t>
      </w:r>
    </w:p>
    <w:p w14:paraId="45825F93">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2.9.2有下列情形之一的，不得现场修改评审结果：</w:t>
      </w:r>
    </w:p>
    <w:p w14:paraId="7D69AB82">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（1）磋商小组已经出具磋商报告并且离开评审现场的；</w:t>
      </w:r>
    </w:p>
    <w:p w14:paraId="535CC6F6">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（2）采购人现场复核时，复核工作人员数量不足的；</w:t>
      </w:r>
    </w:p>
    <w:p w14:paraId="1B1502D1">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（3）采购人现场复核时，没有采购监督人员现场监督的；</w:t>
      </w:r>
    </w:p>
    <w:p w14:paraId="607A502D">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（4）采购人现场复核内容超出规定范围的；</w:t>
      </w:r>
    </w:p>
    <w:p w14:paraId="69E50183">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（5）采购人未提供书面建议的。</w:t>
      </w:r>
    </w:p>
    <w:p w14:paraId="7DC9A8F7">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2.10编写磋商报告。磋商小组推荐成交候选供应商后，应向采购人出具磋商报告。磋商报告应当包括以下主要内容：</w:t>
      </w:r>
    </w:p>
    <w:p w14:paraId="7DAFED3C">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（1）邀请供应商参加采购活动的具体方式和相关情况；</w:t>
      </w:r>
    </w:p>
    <w:p w14:paraId="1BA8F892">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（2）响应文件开启日期和地点；</w:t>
      </w:r>
    </w:p>
    <w:p w14:paraId="58D88745">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（3）获取磋商文件的供应商名单和磋商小组成员名单；</w:t>
      </w:r>
    </w:p>
    <w:p w14:paraId="6824E1A9">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（4）评审情况记录和说明，包括对供应商的资格审查情况、供应商响应文件审查情况、磋商情况、报价情况等；</w:t>
      </w:r>
    </w:p>
    <w:p w14:paraId="4A742CBA">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（5）提出的成交候选供应商的排序名单及理由。</w:t>
      </w:r>
    </w:p>
    <w:p w14:paraId="3DE75AC3">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07BEC0C8">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1687119">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2.12供应商澄清、说明</w:t>
      </w:r>
    </w:p>
    <w:p w14:paraId="64BEAEAE">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37E7D6">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如供应商为其他组织的，应当由其主要负责人或者授权代表签字确认；如供应商为自然人的，应当由其本人或者授权代表签字确认）或者加盖公章。</w:t>
      </w:r>
    </w:p>
    <w:p w14:paraId="732E87C6">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2.13终止磋商采购活动。</w:t>
      </w:r>
    </w:p>
    <w:p w14:paraId="7D107F6D">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出现下列情形之一的，采购人应当终止竞争性磋商采购活动，发布项目终止公告并说明原因，重新开展采购活动：</w:t>
      </w:r>
    </w:p>
    <w:p w14:paraId="4E961E57">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（1）因情况变化，不再符合规定的竞争性磋商采购方式适用情形的；</w:t>
      </w:r>
    </w:p>
    <w:p w14:paraId="27A84DFF">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（2）出现影响采购公正的违法、违规行为的；</w:t>
      </w:r>
    </w:p>
    <w:p w14:paraId="351BA4EE">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（3）在采购过程中符合要求的供应商或者最后报价未超过采购预算的供应商不足3家的。</w:t>
      </w:r>
    </w:p>
    <w:p w14:paraId="037AB498">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2.14磋商活动结束后，发现资格预审过程中资格性审查认定错误的，磋商结果无效，重新开展采购活动，由此给供应商造成损失的，由采购人承担赔偿责任。但是，经过所有参加采购活动的供应商书面认可，同意重新实行资格性审查的，可以直接重新实行资格性审查，并重新按照规定要求进行磋商评审。</w:t>
      </w:r>
    </w:p>
    <w:p w14:paraId="2BD98ADE">
      <w:pPr>
        <w:widowControl w:val="0"/>
        <w:spacing w:line="360" w:lineRule="auto"/>
        <w:ind w:firstLine="480" w:firstLineChars="200"/>
        <w:rPr>
          <w:rFonts w:hint="eastAsia" w:ascii="宋体" w:hAnsi="宋体" w:cs="宋体"/>
          <w:sz w:val="24"/>
          <w:szCs w:val="24"/>
          <w:highlight w:val="none"/>
        </w:rPr>
      </w:pPr>
    </w:p>
    <w:p w14:paraId="2CFDCE94">
      <w:pPr>
        <w:widowControl w:val="0"/>
        <w:numPr>
          <w:ilvl w:val="0"/>
          <w:numId w:val="3"/>
        </w:numPr>
        <w:spacing w:line="360" w:lineRule="auto"/>
        <w:ind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综合评分</w:t>
      </w:r>
    </w:p>
    <w:p w14:paraId="36C7C8DB">
      <w:pPr>
        <w:widowControl w:val="0"/>
        <w:spacing w:line="360" w:lineRule="auto"/>
        <w:rPr>
          <w:rFonts w:hint="eastAsia" w:eastAsia="宋体"/>
          <w:highlight w:val="none"/>
          <w:lang w:eastAsia="zh-CN"/>
        </w:rPr>
      </w:pPr>
    </w:p>
    <w:p w14:paraId="16C8C944">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3.1本次综合评分的因素详见综合评分明细表。</w:t>
      </w:r>
    </w:p>
    <w:p w14:paraId="2C895E28">
      <w:pPr>
        <w:widowControl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355F486C">
      <w:pPr>
        <w:pStyle w:val="9"/>
        <w:widowControl w:val="0"/>
        <w:tabs>
          <w:tab w:val="left" w:pos="60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3.3综合评分明细表</w:t>
      </w:r>
    </w:p>
    <w:p w14:paraId="4A768B6A">
      <w:pPr>
        <w:pStyle w:val="9"/>
        <w:widowControl w:val="0"/>
        <w:tabs>
          <w:tab w:val="left" w:pos="60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3.3.1综合评分明细表的制定以科学合理、降低评委会自由裁量权为原则。</w:t>
      </w:r>
    </w:p>
    <w:p w14:paraId="056E1E48">
      <w:pPr>
        <w:pStyle w:val="9"/>
        <w:widowControl w:val="0"/>
        <w:tabs>
          <w:tab w:val="left" w:pos="60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3.3.2综合评分明细</w:t>
      </w:r>
    </w:p>
    <w:tbl>
      <w:tblPr>
        <w:tblStyle w:val="18"/>
        <w:tblW w:w="956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55"/>
        <w:gridCol w:w="823"/>
        <w:gridCol w:w="5413"/>
        <w:gridCol w:w="1674"/>
      </w:tblGrid>
      <w:tr w14:paraId="3AA8A9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0" w:type="dxa"/>
            <w:tcBorders>
              <w:tl2br w:val="nil"/>
              <w:tr2bl w:val="nil"/>
            </w:tcBorders>
            <w:noWrap w:val="0"/>
            <w:vAlign w:val="center"/>
          </w:tcPr>
          <w:p w14:paraId="7D22E3DD">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permStart w:id="79" w:edGrp="everyone"/>
            <w:r>
              <w:rPr>
                <w:rFonts w:hint="eastAsia" w:ascii="宋体" w:hAnsi="宋体" w:eastAsia="宋体" w:cs="宋体"/>
                <w:color w:val="auto"/>
                <w:sz w:val="21"/>
                <w:szCs w:val="21"/>
                <w:highlight w:val="none"/>
              </w:rPr>
              <w:t>序号</w:t>
            </w:r>
          </w:p>
        </w:tc>
        <w:tc>
          <w:tcPr>
            <w:tcW w:w="955" w:type="dxa"/>
            <w:tcBorders>
              <w:tl2br w:val="nil"/>
              <w:tr2bl w:val="nil"/>
            </w:tcBorders>
            <w:noWrap w:val="0"/>
            <w:vAlign w:val="center"/>
          </w:tcPr>
          <w:p w14:paraId="5F72948A">
            <w:pPr>
              <w:keepNext w:val="0"/>
              <w:keepLines w:val="0"/>
              <w:pageBreakBefore w:val="0"/>
              <w:kinsoku/>
              <w:wordWrap/>
              <w:overflowPunct/>
              <w:topLinePunct w:val="0"/>
              <w:autoSpaceDE/>
              <w:autoSpaceDN/>
              <w:bidi w:val="0"/>
              <w:adjustRightInd/>
              <w:snapToGrid/>
              <w:spacing w:line="400" w:lineRule="exact"/>
              <w:ind w:left="-39"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w:t>
            </w:r>
          </w:p>
          <w:p w14:paraId="13831E57">
            <w:pPr>
              <w:keepNext w:val="0"/>
              <w:keepLines w:val="0"/>
              <w:pageBreakBefore w:val="0"/>
              <w:kinsoku/>
              <w:wordWrap/>
              <w:overflowPunct/>
              <w:topLinePunct w:val="0"/>
              <w:autoSpaceDE/>
              <w:autoSpaceDN/>
              <w:bidi w:val="0"/>
              <w:adjustRightInd/>
              <w:snapToGrid/>
              <w:spacing w:line="400" w:lineRule="exact"/>
              <w:ind w:left="-39"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因素</w:t>
            </w:r>
          </w:p>
        </w:tc>
        <w:tc>
          <w:tcPr>
            <w:tcW w:w="823" w:type="dxa"/>
            <w:tcBorders>
              <w:tl2br w:val="nil"/>
              <w:tr2bl w:val="nil"/>
            </w:tcBorders>
            <w:noWrap w:val="0"/>
            <w:vAlign w:val="center"/>
          </w:tcPr>
          <w:p w14:paraId="4B2F72B8">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5413" w:type="dxa"/>
            <w:tcBorders>
              <w:tl2br w:val="nil"/>
              <w:tr2bl w:val="nil"/>
            </w:tcBorders>
            <w:noWrap w:val="0"/>
            <w:vAlign w:val="center"/>
          </w:tcPr>
          <w:p w14:paraId="1D4F977F">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674" w:type="dxa"/>
            <w:tcBorders>
              <w:tl2br w:val="nil"/>
              <w:tr2bl w:val="nil"/>
            </w:tcBorders>
            <w:noWrap w:val="0"/>
            <w:vAlign w:val="center"/>
          </w:tcPr>
          <w:p w14:paraId="2856C1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备注</w:t>
            </w:r>
          </w:p>
        </w:tc>
      </w:tr>
      <w:tr w14:paraId="32C598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00" w:type="dxa"/>
            <w:tcBorders>
              <w:tl2br w:val="nil"/>
              <w:tr2bl w:val="nil"/>
            </w:tcBorders>
            <w:noWrap w:val="0"/>
            <w:vAlign w:val="center"/>
          </w:tcPr>
          <w:p w14:paraId="2629FB77">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55" w:type="dxa"/>
            <w:tcBorders>
              <w:tl2br w:val="nil"/>
              <w:tr2bl w:val="nil"/>
            </w:tcBorders>
            <w:noWrap w:val="0"/>
            <w:vAlign w:val="center"/>
          </w:tcPr>
          <w:p w14:paraId="47D7255F">
            <w:pPr>
              <w:keepNext w:val="0"/>
              <w:keepLines w:val="0"/>
              <w:pageBreakBefore w:val="0"/>
              <w:kinsoku/>
              <w:wordWrap/>
              <w:overflowPunct/>
              <w:topLinePunct w:val="0"/>
              <w:autoSpaceDE/>
              <w:autoSpaceDN/>
              <w:bidi w:val="0"/>
              <w:adjustRightInd/>
              <w:snapToGrid/>
              <w:spacing w:line="400" w:lineRule="exact"/>
              <w:ind w:left="-39"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常年法律顾问报价</w:t>
            </w:r>
          </w:p>
        </w:tc>
        <w:tc>
          <w:tcPr>
            <w:tcW w:w="823" w:type="dxa"/>
            <w:tcBorders>
              <w:tl2br w:val="nil"/>
              <w:tr2bl w:val="nil"/>
            </w:tcBorders>
            <w:noWrap w:val="0"/>
            <w:vAlign w:val="center"/>
          </w:tcPr>
          <w:p w14:paraId="6FF1669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413" w:type="dxa"/>
            <w:tcBorders>
              <w:tl2br w:val="nil"/>
              <w:tr2bl w:val="nil"/>
            </w:tcBorders>
            <w:noWrap w:val="0"/>
            <w:vAlign w:val="center"/>
          </w:tcPr>
          <w:p w14:paraId="1EEF304D">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采用有效报价最低的为评标基准价，有效报价等于评标基准价的得满分，其他供应商的价格分统一按照下列公式计算：</w:t>
            </w:r>
          </w:p>
          <w:p w14:paraId="33A36F4B">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成本报价得分=（评标基准价/最后报价）×</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，本项满分</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tc>
        <w:tc>
          <w:tcPr>
            <w:tcW w:w="1674" w:type="dxa"/>
            <w:tcBorders>
              <w:tl2br w:val="nil"/>
              <w:tr2bl w:val="nil"/>
            </w:tcBorders>
            <w:noWrap w:val="0"/>
            <w:vAlign w:val="center"/>
          </w:tcPr>
          <w:p w14:paraId="73CDAAD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3BEC8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00" w:type="dxa"/>
            <w:tcBorders>
              <w:tl2br w:val="nil"/>
              <w:tr2bl w:val="nil"/>
            </w:tcBorders>
            <w:noWrap w:val="0"/>
            <w:vAlign w:val="center"/>
          </w:tcPr>
          <w:p w14:paraId="4161C034">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55" w:type="dxa"/>
            <w:tcBorders>
              <w:tl2br w:val="nil"/>
              <w:tr2bl w:val="nil"/>
            </w:tcBorders>
            <w:noWrap w:val="0"/>
            <w:vAlign w:val="center"/>
          </w:tcPr>
          <w:p w14:paraId="10F39574">
            <w:pPr>
              <w:spacing w:line="400" w:lineRule="exact"/>
              <w:ind w:left="-39" w:leftChars="0"/>
              <w:jc w:val="center"/>
              <w:rPr>
                <w:rFonts w:hint="eastAsia" w:ascii="宋体" w:hAnsi="宋体" w:eastAsia="宋体" w:cs="宋体"/>
                <w:color w:val="auto"/>
                <w:sz w:val="21"/>
                <w:szCs w:val="21"/>
                <w:highlight w:val="none"/>
                <w:lang w:eastAsia="zh-CN"/>
              </w:rPr>
            </w:pPr>
            <w:r>
              <w:rPr>
                <w:rFonts w:hint="eastAsia" w:ascii="宋体" w:hAnsi="宋体" w:cs="宋体"/>
                <w:color w:val="auto"/>
                <w:highlight w:val="none"/>
              </w:rPr>
              <w:t>诉讼案件代理费</w:t>
            </w:r>
          </w:p>
        </w:tc>
        <w:tc>
          <w:tcPr>
            <w:tcW w:w="823" w:type="dxa"/>
            <w:tcBorders>
              <w:tl2br w:val="nil"/>
              <w:tr2bl w:val="nil"/>
            </w:tcBorders>
            <w:noWrap w:val="0"/>
            <w:vAlign w:val="center"/>
          </w:tcPr>
          <w:p w14:paraId="0AA8DE9D">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highlight w:val="none"/>
                <w:lang w:val="en-US" w:eastAsia="zh-CN"/>
              </w:rPr>
              <w:t>10</w:t>
            </w:r>
            <w:r>
              <w:rPr>
                <w:rFonts w:hint="eastAsia" w:ascii="宋体" w:hAnsi="宋体" w:cs="宋体"/>
                <w:color w:val="auto"/>
                <w:kern w:val="2"/>
                <w:highlight w:val="none"/>
              </w:rPr>
              <w:t>分</w:t>
            </w:r>
          </w:p>
        </w:tc>
        <w:tc>
          <w:tcPr>
            <w:tcW w:w="5413" w:type="dxa"/>
            <w:tcBorders>
              <w:tl2br w:val="nil"/>
              <w:tr2bl w:val="nil"/>
            </w:tcBorders>
            <w:noWrap w:val="0"/>
            <w:vAlign w:val="center"/>
          </w:tcPr>
          <w:p w14:paraId="1C5E05B2">
            <w:pPr>
              <w:pStyle w:val="2"/>
              <w:spacing w:line="400" w:lineRule="exact"/>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采用有效报价中费率最低的为评标基准价，费率等于评标基准价的得满分，其他供应商的价格分统一按照下列公式计算：</w:t>
            </w:r>
          </w:p>
          <w:p w14:paraId="5118E586">
            <w:pPr>
              <w:pStyle w:val="2"/>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highlight w:val="none"/>
                <w:lang w:val="en-US" w:eastAsia="zh-CN"/>
              </w:rPr>
              <w:t>报价得分=（评标基准价/（1-最终报价下浮率））×10</w:t>
            </w:r>
          </w:p>
        </w:tc>
        <w:tc>
          <w:tcPr>
            <w:tcW w:w="1674" w:type="dxa"/>
            <w:tcBorders>
              <w:tl2br w:val="nil"/>
              <w:tr2bl w:val="nil"/>
            </w:tcBorders>
            <w:noWrap w:val="0"/>
            <w:vAlign w:val="center"/>
          </w:tcPr>
          <w:p w14:paraId="13B412D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02A59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0" w:type="dxa"/>
            <w:tcBorders>
              <w:tl2br w:val="nil"/>
              <w:tr2bl w:val="nil"/>
            </w:tcBorders>
            <w:noWrap w:val="0"/>
            <w:vAlign w:val="center"/>
          </w:tcPr>
          <w:p w14:paraId="23F2DC93">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55" w:type="dxa"/>
            <w:tcBorders>
              <w:tl2br w:val="nil"/>
              <w:tr2bl w:val="nil"/>
            </w:tcBorders>
            <w:noWrap w:val="0"/>
            <w:vAlign w:val="center"/>
          </w:tcPr>
          <w:p w14:paraId="18EA5008">
            <w:pPr>
              <w:keepNext w:val="0"/>
              <w:keepLines w:val="0"/>
              <w:pageBreakBefore w:val="0"/>
              <w:kinsoku/>
              <w:wordWrap/>
              <w:overflowPunct/>
              <w:topLinePunct w:val="0"/>
              <w:autoSpaceDE/>
              <w:autoSpaceDN/>
              <w:bidi w:val="0"/>
              <w:adjustRightInd/>
              <w:snapToGrid/>
              <w:spacing w:line="400" w:lineRule="exact"/>
              <w:ind w:left="-39"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14:paraId="6BD5E30F">
            <w:pPr>
              <w:keepNext w:val="0"/>
              <w:keepLines w:val="0"/>
              <w:pageBreakBefore w:val="0"/>
              <w:kinsoku/>
              <w:wordWrap/>
              <w:overflowPunct/>
              <w:topLinePunct w:val="0"/>
              <w:autoSpaceDE/>
              <w:autoSpaceDN/>
              <w:bidi w:val="0"/>
              <w:adjustRightInd/>
              <w:snapToGrid/>
              <w:spacing w:line="400" w:lineRule="exact"/>
              <w:ind w:left="-39"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tc>
        <w:tc>
          <w:tcPr>
            <w:tcW w:w="823" w:type="dxa"/>
            <w:tcBorders>
              <w:tl2br w:val="nil"/>
              <w:tr2bl w:val="nil"/>
            </w:tcBorders>
            <w:noWrap w:val="0"/>
            <w:vAlign w:val="center"/>
          </w:tcPr>
          <w:p w14:paraId="42CB67E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413" w:type="dxa"/>
            <w:tcBorders>
              <w:tl2br w:val="nil"/>
              <w:tr2bl w:val="nil"/>
            </w:tcBorders>
            <w:noWrap w:val="0"/>
            <w:vAlign w:val="center"/>
          </w:tcPr>
          <w:p w14:paraId="02C5E245">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针对本项目提供的服务方案进行综合评分，方案包含:</w:t>
            </w:r>
          </w:p>
          <w:p w14:paraId="3E979236">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对服务内容的总体认识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对采购人业务理解基础上的服务思路方式和风险防范；</w:t>
            </w:r>
          </w:p>
          <w:p w14:paraId="7F8BC218">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日常法律咨询方案；</w:t>
            </w:r>
          </w:p>
          <w:p w14:paraId="5F6FAEA0">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日常工作安排方案（</w:t>
            </w:r>
            <w:r>
              <w:rPr>
                <w:rFonts w:hint="eastAsia" w:ascii="宋体" w:hAnsi="宋体" w:eastAsia="宋体" w:cs="宋体"/>
                <w:color w:val="auto"/>
                <w:sz w:val="21"/>
                <w:szCs w:val="21"/>
                <w:highlight w:val="none"/>
                <w:lang w:val="en-US" w:eastAsia="zh-CN"/>
              </w:rPr>
              <w:t>含值巡服务制度</w:t>
            </w:r>
            <w:r>
              <w:rPr>
                <w:rFonts w:hint="eastAsia" w:ascii="宋体" w:hAnsi="宋体" w:eastAsia="宋体" w:cs="宋体"/>
                <w:color w:val="auto"/>
                <w:sz w:val="21"/>
                <w:szCs w:val="21"/>
                <w:highlight w:val="none"/>
                <w:lang w:eastAsia="zh-CN"/>
              </w:rPr>
              <w:t>）；</w:t>
            </w:r>
          </w:p>
          <w:p w14:paraId="40F6386F">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参与突发事件研究与处置方案；</w:t>
            </w:r>
          </w:p>
          <w:p w14:paraId="35F292FB">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规范性文件审查方案；</w:t>
            </w:r>
          </w:p>
          <w:p w14:paraId="16D20CD5">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除规范性文件以外的其他文件审查方案；</w:t>
            </w:r>
          </w:p>
          <w:p w14:paraId="71782DFB">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诉讼服务方案；</w:t>
            </w:r>
          </w:p>
          <w:p w14:paraId="755D8497">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服务质量保障措施。</w:t>
            </w:r>
          </w:p>
          <w:p w14:paraId="6855CF22">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内容充分结合项目和对应需求实际情况，描述分析准确符合项目要求，</w:t>
            </w:r>
            <w:r>
              <w:rPr>
                <w:rFonts w:hint="eastAsia" w:ascii="宋体" w:hAnsi="宋体" w:eastAsia="宋体" w:cs="宋体"/>
                <w:color w:val="auto"/>
                <w:sz w:val="21"/>
                <w:szCs w:val="21"/>
                <w:highlight w:val="none"/>
                <w:lang w:val="en-US" w:eastAsia="zh-CN"/>
              </w:rPr>
              <w:t>每个方案根据</w:t>
            </w:r>
            <w:r>
              <w:rPr>
                <w:color w:val="auto"/>
                <w:highlight w:val="none"/>
              </w:rPr>
              <w:t>全面性和操作性进行评分</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优得5分，良得3分，中得1分，每项方案最高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分,缺项的，该缺项不得分。</w:t>
            </w:r>
            <w:r>
              <w:rPr>
                <w:rFonts w:hint="eastAsia" w:ascii="宋体" w:hAnsi="宋体" w:eastAsia="宋体" w:cs="宋体"/>
                <w:color w:val="auto"/>
                <w:sz w:val="21"/>
                <w:szCs w:val="21"/>
                <w:highlight w:val="none"/>
                <w:lang w:val="en-US" w:eastAsia="zh-CN"/>
              </w:rPr>
              <w:t>本项满分4</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tc>
        <w:tc>
          <w:tcPr>
            <w:tcW w:w="1674" w:type="dxa"/>
            <w:tcBorders>
              <w:tl2br w:val="nil"/>
              <w:tr2bl w:val="nil"/>
            </w:tcBorders>
            <w:noWrap w:val="0"/>
            <w:vAlign w:val="center"/>
          </w:tcPr>
          <w:p w14:paraId="677EC88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573DA5C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0" w:type="dxa"/>
            <w:tcBorders>
              <w:tl2br w:val="nil"/>
              <w:tr2bl w:val="nil"/>
            </w:tcBorders>
            <w:noWrap w:val="0"/>
            <w:vAlign w:val="center"/>
          </w:tcPr>
          <w:p w14:paraId="3BF31E3B">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55" w:type="dxa"/>
            <w:tcBorders>
              <w:tl2br w:val="nil"/>
              <w:tr2bl w:val="nil"/>
            </w:tcBorders>
            <w:noWrap w:val="0"/>
            <w:vAlign w:val="center"/>
          </w:tcPr>
          <w:p w14:paraId="4D9C3343">
            <w:pPr>
              <w:keepNext w:val="0"/>
              <w:keepLines w:val="0"/>
              <w:pageBreakBefore w:val="0"/>
              <w:kinsoku/>
              <w:wordWrap/>
              <w:overflowPunct/>
              <w:topLinePunct w:val="0"/>
              <w:autoSpaceDE/>
              <w:autoSpaceDN/>
              <w:bidi w:val="0"/>
              <w:adjustRightInd/>
              <w:snapToGrid/>
              <w:spacing w:line="400" w:lineRule="exact"/>
              <w:ind w:left="-39"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p>
          <w:p w14:paraId="6ECEDFD0">
            <w:pPr>
              <w:keepNext w:val="0"/>
              <w:keepLines w:val="0"/>
              <w:pageBreakBefore w:val="0"/>
              <w:kinsoku/>
              <w:wordWrap/>
              <w:overflowPunct/>
              <w:topLinePunct w:val="0"/>
              <w:autoSpaceDE/>
              <w:autoSpaceDN/>
              <w:bidi w:val="0"/>
              <w:adjustRightInd/>
              <w:snapToGrid/>
              <w:spacing w:line="400" w:lineRule="exact"/>
              <w:ind w:left="-39"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配置</w:t>
            </w:r>
          </w:p>
        </w:tc>
        <w:tc>
          <w:tcPr>
            <w:tcW w:w="823" w:type="dxa"/>
            <w:tcBorders>
              <w:tl2br w:val="nil"/>
              <w:tr2bl w:val="nil"/>
            </w:tcBorders>
            <w:noWrap w:val="0"/>
            <w:vAlign w:val="center"/>
          </w:tcPr>
          <w:p w14:paraId="7234E6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分</w:t>
            </w:r>
          </w:p>
        </w:tc>
        <w:tc>
          <w:tcPr>
            <w:tcW w:w="5413" w:type="dxa"/>
            <w:tcBorders>
              <w:tl2br w:val="nil"/>
              <w:tr2bl w:val="nil"/>
            </w:tcBorders>
            <w:noWrap w:val="0"/>
            <w:vAlign w:val="center"/>
          </w:tcPr>
          <w:p w14:paraId="3BA06E39">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bidi="ar-SA"/>
              </w:rPr>
              <w:t>1.</w:t>
            </w:r>
            <w:r>
              <w:rPr>
                <w:rFonts w:hint="eastAsia" w:ascii="宋体" w:hAnsi="宋体" w:cs="宋体"/>
                <w:color w:val="auto"/>
                <w:highlight w:val="none"/>
              </w:rPr>
              <w:t>律所注册成立五年以上的，服务专职律师注册执业三年以上的至少8名执业律师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得4分</w:t>
            </w:r>
            <w:r>
              <w:rPr>
                <w:rFonts w:hint="eastAsia" w:ascii="宋体" w:hAnsi="宋体" w:cs="宋体"/>
                <w:color w:val="auto"/>
                <w:highlight w:val="none"/>
              </w:rPr>
              <w:t>。每增加一名注册执业三年以上</w:t>
            </w:r>
            <w:r>
              <w:rPr>
                <w:rFonts w:hint="eastAsia" w:ascii="宋体" w:hAnsi="宋体" w:cs="宋体"/>
                <w:color w:val="auto"/>
                <w:highlight w:val="none"/>
                <w:lang w:val="en-US" w:eastAsia="zh-CN"/>
              </w:rPr>
              <w:t>的</w:t>
            </w:r>
            <w:r>
              <w:rPr>
                <w:rFonts w:hint="eastAsia" w:ascii="宋体" w:hAnsi="宋体" w:cs="宋体"/>
                <w:color w:val="auto"/>
                <w:highlight w:val="none"/>
              </w:rPr>
              <w:t>专职律师加</w:t>
            </w:r>
            <w:r>
              <w:rPr>
                <w:rFonts w:hint="eastAsia" w:ascii="宋体" w:hAnsi="宋体" w:cs="宋体"/>
                <w:color w:val="auto"/>
                <w:highlight w:val="none"/>
                <w:lang w:val="en-US" w:eastAsia="zh-CN"/>
              </w:rPr>
              <w:t>1</w:t>
            </w:r>
            <w:r>
              <w:rPr>
                <w:rFonts w:hint="eastAsia" w:ascii="宋体" w:hAnsi="宋体" w:cs="宋体"/>
                <w:color w:val="auto"/>
                <w:highlight w:val="none"/>
              </w:rPr>
              <w:t>分，最多得</w:t>
            </w:r>
            <w:r>
              <w:rPr>
                <w:rFonts w:hint="default"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eastAsia="宋体" w:cs="宋体"/>
                <w:color w:val="auto"/>
                <w:sz w:val="21"/>
                <w:szCs w:val="21"/>
                <w:highlight w:val="none"/>
                <w:lang w:val="en-US" w:eastAsia="zh-CN"/>
              </w:rPr>
              <w:t>，本项满分</w:t>
            </w:r>
            <w:r>
              <w:rPr>
                <w:rFonts w:hint="default"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7E7FCB12">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bidi="ar-SA"/>
              </w:rPr>
              <w:t>2.</w:t>
            </w:r>
            <w:r>
              <w:rPr>
                <w:rFonts w:hint="eastAsia" w:ascii="宋体" w:hAnsi="宋体" w:eastAsia="宋体" w:cs="宋体"/>
                <w:color w:val="auto"/>
                <w:sz w:val="21"/>
                <w:szCs w:val="21"/>
                <w:highlight w:val="none"/>
                <w:lang w:val="en-US" w:eastAsia="zh-CN"/>
              </w:rPr>
              <w:t>拟投入本项目的律师具备金融证券/投融资经验的得2分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具备建工/房地产开发经验的得2分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具备破产相关项目经验的得2分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具备行政纠纷经验得2分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具备知识产权、侵权纠纷相关经验得2分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劳动纠纷经验</w:t>
            </w:r>
            <w:r>
              <w:rPr>
                <w:rFonts w:hint="eastAsia" w:ascii="宋体" w:hAnsi="宋体" w:eastAsia="宋体" w:cs="宋体"/>
                <w:color w:val="auto"/>
                <w:sz w:val="21"/>
                <w:szCs w:val="21"/>
                <w:highlight w:val="none"/>
                <w:lang w:val="en-US" w:eastAsia="zh-CN"/>
              </w:rPr>
              <w:t>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最多得1</w:t>
            </w: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分，本项满分12分。</w:t>
            </w:r>
          </w:p>
        </w:tc>
        <w:tc>
          <w:tcPr>
            <w:tcW w:w="1674" w:type="dxa"/>
            <w:tcBorders>
              <w:tl2br w:val="nil"/>
              <w:tr2bl w:val="nil"/>
            </w:tcBorders>
            <w:noWrap w:val="0"/>
            <w:vAlign w:val="center"/>
          </w:tcPr>
          <w:p w14:paraId="6EB31C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附资格证书、执业证书、职称证书、业绩证明材料等相关证明文件并加盖公章。</w:t>
            </w:r>
          </w:p>
        </w:tc>
      </w:tr>
      <w:tr w14:paraId="2CA67BE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0" w:type="dxa"/>
            <w:tcBorders>
              <w:tl2br w:val="nil"/>
              <w:tr2bl w:val="nil"/>
            </w:tcBorders>
            <w:noWrap w:val="0"/>
            <w:vAlign w:val="center"/>
          </w:tcPr>
          <w:p w14:paraId="41BCB100">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55" w:type="dxa"/>
            <w:tcBorders>
              <w:tl2br w:val="nil"/>
              <w:tr2bl w:val="nil"/>
            </w:tcBorders>
            <w:noWrap w:val="0"/>
            <w:vAlign w:val="center"/>
          </w:tcPr>
          <w:p w14:paraId="2E4848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w:t>
            </w:r>
          </w:p>
          <w:p w14:paraId="06C6258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实力</w:t>
            </w:r>
          </w:p>
        </w:tc>
        <w:tc>
          <w:tcPr>
            <w:tcW w:w="823" w:type="dxa"/>
            <w:tcBorders>
              <w:tl2br w:val="nil"/>
              <w:tr2bl w:val="nil"/>
            </w:tcBorders>
            <w:noWrap w:val="0"/>
            <w:vAlign w:val="center"/>
          </w:tcPr>
          <w:p w14:paraId="067A1EE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分</w:t>
            </w:r>
          </w:p>
        </w:tc>
        <w:tc>
          <w:tcPr>
            <w:tcW w:w="5413" w:type="dxa"/>
            <w:tcBorders>
              <w:tl2br w:val="nil"/>
              <w:tr2bl w:val="nil"/>
            </w:tcBorders>
            <w:noWrap w:val="0"/>
            <w:vAlign w:val="center"/>
          </w:tcPr>
          <w:p w14:paraId="7E95E296">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拟投入本项目的律师</w:t>
            </w:r>
            <w:r>
              <w:rPr>
                <w:rFonts w:hint="eastAsia" w:ascii="宋体" w:hAnsi="宋体" w:eastAsia="宋体" w:cs="宋体"/>
                <w:color w:val="auto"/>
                <w:sz w:val="21"/>
                <w:szCs w:val="21"/>
                <w:highlight w:val="none"/>
                <w:lang w:val="en-US" w:eastAsia="zh-CN"/>
              </w:rPr>
              <w:t>中获得过省级（或国家级)优秀律师的，得6分，本项满分6分</w:t>
            </w:r>
            <w:r>
              <w:rPr>
                <w:rFonts w:hint="eastAsia" w:ascii="宋体" w:hAnsi="宋体" w:cs="宋体"/>
                <w:color w:val="auto"/>
                <w:sz w:val="21"/>
                <w:szCs w:val="21"/>
                <w:highlight w:val="none"/>
                <w:lang w:val="en-US" w:eastAsia="zh-CN"/>
              </w:rPr>
              <w:t>。</w:t>
            </w:r>
          </w:p>
          <w:p w14:paraId="61781FE1">
            <w:pPr>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注：以上获奖证书或案例应为律师及相关行业协会或司法部门颁发或发布。</w:t>
            </w:r>
          </w:p>
        </w:tc>
        <w:tc>
          <w:tcPr>
            <w:tcW w:w="1674" w:type="dxa"/>
            <w:tcBorders>
              <w:tl2br w:val="nil"/>
              <w:tr2bl w:val="nil"/>
            </w:tcBorders>
            <w:noWrap w:val="0"/>
            <w:vAlign w:val="center"/>
          </w:tcPr>
          <w:p w14:paraId="4FD7445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提供相关证明材料复印件并加盖公章。</w:t>
            </w:r>
          </w:p>
        </w:tc>
      </w:tr>
      <w:tr w14:paraId="6B74698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00" w:type="dxa"/>
            <w:tcBorders>
              <w:tl2br w:val="nil"/>
              <w:tr2bl w:val="nil"/>
            </w:tcBorders>
            <w:noWrap w:val="0"/>
            <w:vAlign w:val="center"/>
          </w:tcPr>
          <w:p w14:paraId="49A87E90">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55" w:type="dxa"/>
            <w:tcBorders>
              <w:tl2br w:val="nil"/>
              <w:tr2bl w:val="nil"/>
            </w:tcBorders>
            <w:noWrap w:val="0"/>
            <w:vAlign w:val="center"/>
          </w:tcPr>
          <w:p w14:paraId="7EDDF1E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业绩</w:t>
            </w:r>
          </w:p>
        </w:tc>
        <w:tc>
          <w:tcPr>
            <w:tcW w:w="823" w:type="dxa"/>
            <w:tcBorders>
              <w:tl2br w:val="nil"/>
              <w:tr2bl w:val="nil"/>
            </w:tcBorders>
            <w:noWrap w:val="0"/>
            <w:vAlign w:val="center"/>
          </w:tcPr>
          <w:p w14:paraId="3E5DA0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413" w:type="dxa"/>
            <w:tcBorders>
              <w:tl2br w:val="nil"/>
              <w:tr2bl w:val="nil"/>
            </w:tcBorders>
            <w:noWrap w:val="0"/>
            <w:vAlign w:val="center"/>
          </w:tcPr>
          <w:p w14:paraId="5C7D5E00">
            <w:pPr>
              <w:pStyle w:val="33"/>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2024年1月1日至本项目公告发布之日为国有企业提供法律顾问服务,供应商每有一个正在履行或已完成法律顾问服务项目业绩，得2分，本项满分10分。</w:t>
            </w:r>
          </w:p>
        </w:tc>
        <w:tc>
          <w:tcPr>
            <w:tcW w:w="1674" w:type="dxa"/>
            <w:tcBorders>
              <w:tl2br w:val="nil"/>
              <w:tr2bl w:val="nil"/>
            </w:tcBorders>
            <w:noWrap w:val="0"/>
            <w:vAlign w:val="center"/>
          </w:tcPr>
          <w:p w14:paraId="0B20ED1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b/>
                <w:bCs/>
                <w:color w:val="auto"/>
                <w:sz w:val="21"/>
                <w:szCs w:val="21"/>
                <w:highlight w:val="none"/>
                <w:lang w:eastAsia="zh-CN"/>
              </w:rPr>
              <w:t>合同复印件</w:t>
            </w:r>
            <w:r>
              <w:rPr>
                <w:rFonts w:hint="eastAsia" w:ascii="宋体" w:hAnsi="宋体" w:eastAsia="宋体" w:cs="宋体"/>
                <w:color w:val="auto"/>
                <w:sz w:val="21"/>
                <w:szCs w:val="21"/>
                <w:highlight w:val="none"/>
                <w:lang w:eastAsia="zh-CN"/>
              </w:rPr>
              <w:t>（加盖公章）</w:t>
            </w:r>
          </w:p>
        </w:tc>
      </w:tr>
      <w:tr w14:paraId="4C3B2D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00" w:type="dxa"/>
            <w:tcBorders>
              <w:tl2br w:val="nil"/>
              <w:tr2bl w:val="nil"/>
            </w:tcBorders>
            <w:noWrap w:val="0"/>
            <w:vAlign w:val="center"/>
          </w:tcPr>
          <w:p w14:paraId="1450ACBE">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55" w:type="dxa"/>
            <w:tcBorders>
              <w:tl2br w:val="nil"/>
              <w:tr2bl w:val="nil"/>
            </w:tcBorders>
            <w:noWrap w:val="0"/>
            <w:vAlign w:val="center"/>
          </w:tcPr>
          <w:p w14:paraId="792AECE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823" w:type="dxa"/>
            <w:tcBorders>
              <w:tl2br w:val="nil"/>
              <w:tr2bl w:val="nil"/>
            </w:tcBorders>
            <w:noWrap w:val="0"/>
            <w:vAlign w:val="center"/>
          </w:tcPr>
          <w:p w14:paraId="7F66EDF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5413" w:type="dxa"/>
            <w:tcBorders>
              <w:tl2br w:val="nil"/>
              <w:tr2bl w:val="nil"/>
            </w:tcBorders>
            <w:noWrap w:val="0"/>
            <w:vAlign w:val="center"/>
          </w:tcPr>
          <w:p w14:paraId="2EBF1FA7">
            <w:pPr>
              <w:pStyle w:val="33"/>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法律顾问日常工作除了采购人第五章服务要求外，对采购人的提供其他额外增值服务的，如党建工作、工会管理等方面，每包含一样，得2分，本项满分4分。</w:t>
            </w:r>
          </w:p>
        </w:tc>
        <w:tc>
          <w:tcPr>
            <w:tcW w:w="1674" w:type="dxa"/>
            <w:tcBorders>
              <w:tl2br w:val="nil"/>
              <w:tr2bl w:val="nil"/>
            </w:tcBorders>
            <w:noWrap w:val="0"/>
            <w:vAlign w:val="center"/>
          </w:tcPr>
          <w:p w14:paraId="6F7AD7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p>
        </w:tc>
      </w:tr>
      <w:permEnd w:id="79"/>
    </w:tbl>
    <w:p w14:paraId="3CA85C85">
      <w:pPr>
        <w:pStyle w:val="2"/>
        <w:spacing w:line="360" w:lineRule="auto"/>
        <w:ind w:firstLine="211" w:firstLineChars="100"/>
        <w:rPr>
          <w:rFonts w:ascii="宋体" w:hAnsi="宋体" w:cs="宋体"/>
          <w:b/>
          <w:bCs/>
          <w:highlight w:val="none"/>
        </w:rPr>
      </w:pPr>
      <w:bookmarkStart w:id="931" w:name="_Toc11547"/>
      <w:bookmarkStart w:id="932" w:name="_Toc2565"/>
      <w:bookmarkStart w:id="933" w:name="_Toc2279"/>
      <w:bookmarkStart w:id="934" w:name="_Toc27533"/>
      <w:bookmarkStart w:id="935" w:name="_Toc19086"/>
      <w:bookmarkStart w:id="936" w:name="_Toc8690"/>
      <w:r>
        <w:rPr>
          <w:rFonts w:hint="eastAsia" w:ascii="宋体" w:hAnsi="宋体" w:cs="宋体"/>
          <w:b/>
          <w:bCs/>
          <w:highlight w:val="none"/>
        </w:rPr>
        <w:t>注：得分结果保留两位小数。</w:t>
      </w:r>
      <w:bookmarkEnd w:id="931"/>
      <w:bookmarkEnd w:id="932"/>
      <w:bookmarkEnd w:id="933"/>
      <w:bookmarkEnd w:id="934"/>
      <w:bookmarkEnd w:id="935"/>
      <w:bookmarkEnd w:id="936"/>
    </w:p>
    <w:p w14:paraId="3861E8D3">
      <w:pPr>
        <w:tabs>
          <w:tab w:val="left" w:pos="851"/>
        </w:tabs>
        <w:spacing w:line="360" w:lineRule="auto"/>
        <w:ind w:firstLine="482" w:firstLineChars="200"/>
        <w:rPr>
          <w:rFonts w:hint="eastAsia" w:ascii="宋体" w:hAnsi="宋体"/>
          <w:b/>
          <w:sz w:val="24"/>
          <w:highlight w:val="none"/>
        </w:rPr>
      </w:pPr>
    </w:p>
    <w:p w14:paraId="372D6990">
      <w:pPr>
        <w:pStyle w:val="25"/>
        <w:ind w:left="0" w:leftChars="0" w:firstLine="0" w:firstLineChars="0"/>
        <w:rPr>
          <w:rFonts w:hint="eastAsia"/>
        </w:rPr>
      </w:pPr>
    </w:p>
    <w:p w14:paraId="42871292">
      <w:pPr>
        <w:tabs>
          <w:tab w:val="left" w:pos="851"/>
        </w:tabs>
        <w:spacing w:line="360" w:lineRule="auto"/>
        <w:ind w:firstLine="482" w:firstLineChars="200"/>
        <w:rPr>
          <w:rFonts w:hint="eastAsia" w:ascii="宋体" w:hAnsi="宋体"/>
          <w:b/>
          <w:sz w:val="24"/>
          <w:highlight w:val="none"/>
        </w:rPr>
      </w:pPr>
      <w:r>
        <w:rPr>
          <w:rFonts w:hint="eastAsia" w:ascii="宋体" w:hAnsi="宋体"/>
          <w:b/>
          <w:sz w:val="24"/>
          <w:highlight w:val="none"/>
        </w:rPr>
        <w:t>4.磋商纪律及注意事项</w:t>
      </w:r>
    </w:p>
    <w:p w14:paraId="444C48EB">
      <w:pPr>
        <w:tabs>
          <w:tab w:val="left" w:pos="851"/>
        </w:tabs>
        <w:spacing w:line="360" w:lineRule="auto"/>
        <w:ind w:firstLine="480" w:firstLineChars="200"/>
        <w:rPr>
          <w:rFonts w:hint="eastAsia" w:ascii="宋体" w:hAnsi="宋体"/>
          <w:sz w:val="24"/>
          <w:highlight w:val="none"/>
        </w:rPr>
      </w:pPr>
      <w:r>
        <w:rPr>
          <w:rFonts w:hint="eastAsia" w:ascii="宋体" w:hAnsi="宋体"/>
          <w:sz w:val="24"/>
          <w:highlight w:val="none"/>
        </w:rPr>
        <w:t>4.1磋商小组内部讨论的情况和意见必须保密，任何人不得以任何形式透露给供应商或与供应商有关的单位或个人。</w:t>
      </w:r>
    </w:p>
    <w:p w14:paraId="329AE12C">
      <w:pPr>
        <w:tabs>
          <w:tab w:val="left" w:pos="851"/>
        </w:tabs>
        <w:spacing w:line="360" w:lineRule="auto"/>
        <w:ind w:firstLine="480" w:firstLineChars="200"/>
        <w:rPr>
          <w:rFonts w:hint="eastAsia" w:ascii="宋体" w:hAnsi="宋体"/>
          <w:sz w:val="24"/>
          <w:highlight w:val="none"/>
        </w:rPr>
      </w:pPr>
      <w:r>
        <w:rPr>
          <w:rFonts w:hint="eastAsia" w:ascii="宋体" w:hAnsi="宋体"/>
          <w:sz w:val="24"/>
          <w:highlight w:val="none"/>
        </w:rPr>
        <w:t>4.2在磋商过程中，供应商不得以任何形式对磋商小组成员进行旨在影响磋商结果的私下接触，否则将取消其参与磋商的资格。</w:t>
      </w:r>
    </w:p>
    <w:p w14:paraId="23DF4F73">
      <w:pPr>
        <w:tabs>
          <w:tab w:val="left" w:pos="851"/>
        </w:tabs>
        <w:spacing w:line="360" w:lineRule="auto"/>
        <w:ind w:firstLine="480" w:firstLineChars="200"/>
        <w:rPr>
          <w:rFonts w:hint="eastAsia" w:ascii="宋体" w:hAnsi="宋体"/>
          <w:sz w:val="24"/>
          <w:highlight w:val="none"/>
        </w:rPr>
      </w:pPr>
      <w:r>
        <w:rPr>
          <w:rFonts w:hint="eastAsia" w:ascii="宋体" w:hAnsi="宋体"/>
          <w:sz w:val="24"/>
          <w:highlight w:val="none"/>
        </w:rPr>
        <w:t>4.3</w:t>
      </w:r>
      <w:r>
        <w:rPr>
          <w:rFonts w:hint="eastAsia"/>
          <w:sz w:val="24"/>
          <w:highlight w:val="none"/>
        </w:rPr>
        <w:t>对各供应商的商业秘密，磋商小组成员应予以保密，不得泄露给其他供应商。</w:t>
      </w:r>
    </w:p>
    <w:p w14:paraId="5A208A9E">
      <w:pPr>
        <w:tabs>
          <w:tab w:val="left" w:pos="851"/>
        </w:tabs>
        <w:spacing w:line="360" w:lineRule="auto"/>
        <w:ind w:firstLine="480" w:firstLineChars="200"/>
        <w:rPr>
          <w:rFonts w:hint="eastAsia" w:ascii="宋体" w:hAnsi="宋体"/>
          <w:sz w:val="24"/>
          <w:highlight w:val="none"/>
        </w:rPr>
      </w:pPr>
      <w:r>
        <w:rPr>
          <w:rFonts w:hint="eastAsia" w:ascii="宋体" w:hAnsi="宋体"/>
          <w:sz w:val="24"/>
          <w:highlight w:val="none"/>
        </w:rPr>
        <w:t>4.4磋商小组独立评判，推荐成交候选人，并写出书面报告。</w:t>
      </w:r>
    </w:p>
    <w:p w14:paraId="46F85D97">
      <w:pPr>
        <w:tabs>
          <w:tab w:val="left" w:pos="851"/>
        </w:tabs>
        <w:spacing w:line="360" w:lineRule="auto"/>
        <w:ind w:firstLine="480" w:firstLineChars="200"/>
        <w:rPr>
          <w:rFonts w:hint="eastAsia" w:ascii="宋体" w:hAnsi="宋体"/>
          <w:sz w:val="24"/>
          <w:highlight w:val="none"/>
        </w:rPr>
      </w:pPr>
      <w:r>
        <w:rPr>
          <w:rFonts w:hint="eastAsia" w:ascii="宋体" w:hAnsi="宋体"/>
          <w:sz w:val="24"/>
          <w:highlight w:val="none"/>
        </w:rPr>
        <w:t>4.5磋商小组可根据需要对供应商进行实地考察。</w:t>
      </w:r>
    </w:p>
    <w:p w14:paraId="386F5B57">
      <w:pPr>
        <w:spacing w:line="360" w:lineRule="auto"/>
        <w:ind w:firstLine="480" w:firstLineChars="200"/>
        <w:rPr>
          <w:rFonts w:hint="eastAsia" w:ascii="宋体"/>
          <w:sz w:val="24"/>
          <w:highlight w:val="none"/>
        </w:rPr>
      </w:pPr>
    </w:p>
    <w:p w14:paraId="5AA3D6CE">
      <w:pPr>
        <w:tabs>
          <w:tab w:val="left" w:pos="7665"/>
        </w:tabs>
        <w:spacing w:line="360" w:lineRule="auto"/>
        <w:ind w:firstLine="480" w:firstLineChars="200"/>
        <w:rPr>
          <w:rFonts w:hint="eastAsia" w:ascii="宋体" w:hAnsi="宋体"/>
          <w:b/>
          <w:sz w:val="24"/>
          <w:highlight w:val="none"/>
        </w:rPr>
      </w:pPr>
      <w:r>
        <w:rPr>
          <w:rFonts w:hint="eastAsia" w:ascii="宋体" w:hAnsi="宋体"/>
          <w:sz w:val="24"/>
          <w:highlight w:val="none"/>
        </w:rPr>
        <w:t>5.</w:t>
      </w:r>
      <w:r>
        <w:rPr>
          <w:rFonts w:hint="eastAsia" w:ascii="宋体" w:hAnsi="宋体"/>
          <w:b/>
          <w:sz w:val="24"/>
          <w:highlight w:val="none"/>
        </w:rPr>
        <w:t>磋商小组在采购活动中承担以下义务：</w:t>
      </w:r>
    </w:p>
    <w:p w14:paraId="51875384">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（一）遵守评审工作纪律；</w:t>
      </w:r>
    </w:p>
    <w:p w14:paraId="2DF7FC75">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（二）按照客观、公正、审慎的原则，根据磋商文件规定的评审程序、评审方法和评审标准进行独立评审；</w:t>
      </w:r>
    </w:p>
    <w:p w14:paraId="4697632B">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（三）不得泄露评审文件、评审情况和在评审过程中获悉的商业秘密；</w:t>
      </w:r>
    </w:p>
    <w:p w14:paraId="53AE8580">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（四）及时向财政部门报告评审过程中发现的采购人向评审</w:t>
      </w:r>
      <w:r>
        <w:rPr>
          <w:rFonts w:hint="eastAsia" w:ascii="宋体" w:hAnsi="宋体"/>
          <w:sz w:val="24"/>
          <w:highlight w:val="none"/>
          <w:lang w:eastAsia="zh-CN"/>
        </w:rPr>
        <w:t>专家作</w:t>
      </w:r>
      <w:r>
        <w:rPr>
          <w:rFonts w:hint="eastAsia" w:ascii="宋体" w:hAnsi="宋体"/>
          <w:sz w:val="24"/>
          <w:highlight w:val="none"/>
        </w:rPr>
        <w:t>倾向性、误导性的解释或者说明，以及供应商行贿、提供虚假材料或者串通等违法行为；</w:t>
      </w:r>
    </w:p>
    <w:p w14:paraId="172CBE4C">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（五）发现磋商文件内容违反国家有关强制性规定或者磋商文件存在歧义、重大缺陷导致评审工作无法进行时，停止评审并向采购人或者采购代理机构书面说明情况；</w:t>
      </w:r>
    </w:p>
    <w:p w14:paraId="41FD6E96">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（六）及时向财政、监察等部门举报在评审过程中受到非法干预的情况；</w:t>
      </w:r>
    </w:p>
    <w:p w14:paraId="3C0D1B0F">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（七）配合答复处理供应商的询问、质疑和投诉等事项；</w:t>
      </w:r>
    </w:p>
    <w:p w14:paraId="61B45064">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（八）</w:t>
      </w:r>
      <w:r>
        <w:rPr>
          <w:rFonts w:hint="eastAsia" w:ascii="宋体" w:hAnsi="宋体"/>
          <w:sz w:val="24"/>
          <w:highlight w:val="none"/>
          <w:lang w:eastAsia="zh-CN"/>
        </w:rPr>
        <w:t>法律法规</w:t>
      </w:r>
      <w:r>
        <w:rPr>
          <w:rFonts w:hint="eastAsia" w:ascii="宋体" w:hAnsi="宋体"/>
          <w:sz w:val="24"/>
          <w:highlight w:val="none"/>
        </w:rPr>
        <w:t>和规章规定的其他义务。</w:t>
      </w:r>
    </w:p>
    <w:p w14:paraId="7E63159E">
      <w:pPr>
        <w:tabs>
          <w:tab w:val="left" w:pos="7665"/>
        </w:tabs>
        <w:spacing w:line="360" w:lineRule="auto"/>
        <w:rPr>
          <w:rFonts w:hint="eastAsia" w:ascii="宋体" w:hAnsi="宋体"/>
          <w:sz w:val="24"/>
          <w:highlight w:val="none"/>
        </w:rPr>
      </w:pPr>
    </w:p>
    <w:p w14:paraId="57988BE5">
      <w:pPr>
        <w:tabs>
          <w:tab w:val="left" w:pos="7665"/>
        </w:tabs>
        <w:spacing w:line="360" w:lineRule="auto"/>
        <w:ind w:firstLine="482" w:firstLineChars="200"/>
        <w:rPr>
          <w:rFonts w:hint="eastAsia" w:ascii="宋体" w:hAnsi="宋体"/>
          <w:b/>
          <w:sz w:val="24"/>
          <w:highlight w:val="none"/>
        </w:rPr>
      </w:pPr>
      <w:r>
        <w:rPr>
          <w:rFonts w:hint="eastAsia" w:ascii="宋体" w:hAnsi="宋体"/>
          <w:b/>
          <w:sz w:val="24"/>
          <w:highlight w:val="none"/>
        </w:rPr>
        <w:t>6.评审专家在采购活动中应当遵守以下工作纪律：</w:t>
      </w:r>
    </w:p>
    <w:p w14:paraId="1B76A767">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（一）不得参加与自己有《中华人民共和国政府采购法实施条例》第九条规定的利害关系的采购项目的评标活动。发现参加了与自己有利害关系的评审活动，须主动提出回避，退出评审；</w:t>
      </w:r>
    </w:p>
    <w:p w14:paraId="6C7259AC">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（二）评审前，应当将通讯工具或者相关电子设备交由采购人统一保管；</w:t>
      </w:r>
    </w:p>
    <w:p w14:paraId="4C2B55AF">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（三）评审过程中，不得与外界联系，因发生不可预见情况，确实需要与外界联系的，应当在监督人员监督之下办理；</w:t>
      </w:r>
    </w:p>
    <w:p w14:paraId="0509D767">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（四）评审过程中，不得发表影响评审公正的倾向性、歧视性言论，不得征询或者接受采购人的倾向性意见，不得明示或暗示供应商在澄清时表达与其响应文件</w:t>
      </w:r>
      <w:r>
        <w:rPr>
          <w:rFonts w:hint="eastAsia" w:ascii="宋体" w:hAnsi="宋体"/>
          <w:sz w:val="24"/>
          <w:highlight w:val="none"/>
          <w:lang w:eastAsia="zh-CN"/>
        </w:rPr>
        <w:t>原意</w:t>
      </w:r>
      <w:r>
        <w:rPr>
          <w:rFonts w:hint="eastAsia" w:ascii="宋体" w:hAnsi="宋体"/>
          <w:sz w:val="24"/>
          <w:highlight w:val="none"/>
        </w:rPr>
        <w:t>不同的意见，不得以磋商文件没有规定的评审方法和标准作为评审的依据，不得修改或者细化评审程序、评审方法、评审因素和评审标准，不得违规撰写评审意见，不得拒绝对自己的评审意见签字确认；</w:t>
      </w:r>
    </w:p>
    <w:p w14:paraId="76D186EB">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（五）在评审过程中和评审结束后，不得记录、复制或带走任何评审资料，不得向外界透露评审内容；</w:t>
      </w:r>
    </w:p>
    <w:p w14:paraId="46DEF1CB">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（六）评审现场服从工作人员的管理，接受现场监督人员的合法监督；</w:t>
      </w:r>
    </w:p>
    <w:p w14:paraId="5D5FC120">
      <w:pPr>
        <w:tabs>
          <w:tab w:val="left" w:pos="7665"/>
        </w:tabs>
        <w:spacing w:line="360" w:lineRule="auto"/>
        <w:ind w:firstLine="480" w:firstLineChars="200"/>
        <w:rPr>
          <w:rFonts w:hint="eastAsia" w:ascii="宋体" w:hAnsi="宋体"/>
          <w:sz w:val="24"/>
          <w:highlight w:val="none"/>
        </w:rPr>
      </w:pPr>
      <w:r>
        <w:rPr>
          <w:rFonts w:hint="eastAsia" w:ascii="宋体" w:hAnsi="宋体"/>
          <w:sz w:val="24"/>
          <w:highlight w:val="none"/>
        </w:rPr>
        <w:t>（七）遵守有关廉洁自律规定，不得私下接触供应商，不得收受供应商及有关业务单位和个人的财物或好处，不得接受采购人的请托。</w:t>
      </w:r>
    </w:p>
    <w:p w14:paraId="2FECCDC7">
      <w:pPr>
        <w:adjustRightInd w:val="0"/>
        <w:snapToGrid w:val="0"/>
        <w:spacing w:line="360" w:lineRule="auto"/>
        <w:rPr>
          <w:rFonts w:hint="eastAsia" w:hAnsi="宋体"/>
          <w:b/>
          <w:bCs/>
          <w:sz w:val="24"/>
          <w:highlight w:val="none"/>
        </w:rPr>
      </w:pPr>
    </w:p>
    <w:bookmarkEnd w:id="894"/>
    <w:bookmarkEnd w:id="895"/>
    <w:bookmarkEnd w:id="896"/>
    <w:bookmarkEnd w:id="897"/>
    <w:bookmarkEnd w:id="898"/>
    <w:p w14:paraId="0E03E830">
      <w:pPr>
        <w:widowControl w:val="0"/>
        <w:jc w:val="center"/>
        <w:outlineLvl w:val="0"/>
        <w:rPr>
          <w:rFonts w:hint="eastAsia"/>
          <w:b/>
          <w:sz w:val="36"/>
          <w:szCs w:val="36"/>
          <w:highlight w:val="none"/>
        </w:rPr>
        <w:sectPr>
          <w:headerReference r:id="rId8" w:type="default"/>
          <w:footerReference r:id="rId9" w:type="default"/>
          <w:pgSz w:w="11907" w:h="16840"/>
          <w:pgMar w:top="992" w:right="1242" w:bottom="1440" w:left="1304" w:header="851" w:footer="992" w:gutter="0"/>
          <w:cols w:space="720" w:num="1"/>
          <w:docGrid w:linePitch="312" w:charSpace="0"/>
        </w:sectPr>
      </w:pPr>
    </w:p>
    <w:p w14:paraId="18F805C7">
      <w:pPr>
        <w:widowControl w:val="0"/>
        <w:jc w:val="center"/>
        <w:outlineLvl w:val="0"/>
        <w:rPr>
          <w:rFonts w:hint="eastAsia"/>
          <w:b/>
          <w:sz w:val="36"/>
          <w:szCs w:val="36"/>
          <w:highlight w:val="none"/>
        </w:rPr>
      </w:pPr>
      <w:bookmarkStart w:id="937" w:name="_Toc30160"/>
      <w:r>
        <w:rPr>
          <w:rFonts w:hint="eastAsia"/>
          <w:b/>
          <w:sz w:val="36"/>
          <w:szCs w:val="36"/>
          <w:highlight w:val="none"/>
        </w:rPr>
        <w:t>第八章采购合同（草案）</w:t>
      </w:r>
      <w:bookmarkEnd w:id="937"/>
    </w:p>
    <w:p w14:paraId="2B5E713C">
      <w:pPr>
        <w:pStyle w:val="5"/>
        <w:spacing w:line="360" w:lineRule="auto"/>
        <w:jc w:val="center"/>
        <w:rPr>
          <w:sz w:val="36"/>
          <w:szCs w:val="36"/>
          <w:highlight w:val="none"/>
        </w:rPr>
      </w:pPr>
    </w:p>
    <w:p w14:paraId="5A41659B">
      <w:pPr>
        <w:pStyle w:val="10"/>
        <w:spacing w:line="360" w:lineRule="auto"/>
        <w:rPr>
          <w:rFonts w:hint="eastAsia" w:ascii="微软雅黑" w:hAnsi="微软雅黑" w:eastAsia="微软雅黑"/>
          <w:b/>
          <w:sz w:val="28"/>
          <w:szCs w:val="28"/>
          <w:highlight w:val="none"/>
        </w:rPr>
      </w:pPr>
    </w:p>
    <w:p w14:paraId="69B3E9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color w:val="auto"/>
          <w:sz w:val="32"/>
          <w:szCs w:val="32"/>
          <w:lang w:val="en-US" w:eastAsia="zh-CN"/>
        </w:rPr>
      </w:pPr>
      <w:permStart w:id="80" w:edGrp="everyone"/>
      <w:r>
        <w:rPr>
          <w:rFonts w:hint="default" w:ascii="Times New Roman" w:hAnsi="Times New Roman" w:eastAsia="黑体" w:cs="Times New Roman"/>
          <w:b w:val="0"/>
          <w:bCs/>
          <w:color w:val="auto"/>
          <w:sz w:val="32"/>
          <w:szCs w:val="32"/>
          <w:lang w:val="en-US" w:eastAsia="zh-CN"/>
        </w:rPr>
        <w:t>202</w:t>
      </w:r>
      <w:r>
        <w:rPr>
          <w:rFonts w:hint="eastAsia" w:eastAsia="黑体" w:cs="Times New Roman"/>
          <w:b w:val="0"/>
          <w:bCs/>
          <w:color w:val="auto"/>
          <w:sz w:val="32"/>
          <w:szCs w:val="32"/>
          <w:lang w:val="en-US" w:eastAsia="zh-CN"/>
        </w:rPr>
        <w:t>6</w:t>
      </w:r>
      <w:r>
        <w:rPr>
          <w:rFonts w:hint="default" w:ascii="Times New Roman" w:hAnsi="Times New Roman" w:eastAsia="黑体" w:cs="Times New Roman"/>
          <w:b w:val="0"/>
          <w:bCs/>
          <w:color w:val="auto"/>
          <w:sz w:val="32"/>
          <w:szCs w:val="32"/>
          <w:lang w:val="en-US" w:eastAsia="zh-CN"/>
        </w:rPr>
        <w:t>年</w:t>
      </w:r>
      <w:r>
        <w:rPr>
          <w:rFonts w:hint="eastAsia" w:eastAsia="黑体" w:cs="Times New Roman"/>
          <w:b w:val="0"/>
          <w:bCs/>
          <w:color w:val="auto"/>
          <w:sz w:val="32"/>
          <w:szCs w:val="32"/>
          <w:lang w:val="en-US" w:eastAsia="zh-CN"/>
        </w:rPr>
        <w:t>法律</w:t>
      </w:r>
      <w:r>
        <w:rPr>
          <w:rFonts w:hint="default" w:ascii="Times New Roman" w:hAnsi="Times New Roman" w:eastAsia="黑体" w:cs="Times New Roman"/>
          <w:b w:val="0"/>
          <w:bCs/>
          <w:color w:val="auto"/>
          <w:sz w:val="32"/>
          <w:szCs w:val="32"/>
          <w:lang w:val="en-US" w:eastAsia="zh-CN"/>
        </w:rPr>
        <w:t>服务采购合同</w:t>
      </w:r>
    </w:p>
    <w:p w14:paraId="49D4D64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bidi="ar-SA"/>
        </w:rPr>
      </w:pPr>
    </w:p>
    <w:p w14:paraId="70778D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8"/>
          <w:szCs w:val="28"/>
          <w:lang w:val="en-US" w:eastAsia="zh-CN" w:bidi="ar-SA"/>
        </w:rPr>
      </w:pPr>
      <w:r>
        <w:rPr>
          <w:rFonts w:hint="default" w:ascii="Times New Roman" w:hAnsi="Times New Roman" w:eastAsia="黑体" w:cs="Times New Roman"/>
          <w:color w:val="auto"/>
          <w:sz w:val="28"/>
          <w:szCs w:val="28"/>
          <w:lang w:val="en-US" w:eastAsia="zh-CN" w:bidi="ar-SA"/>
        </w:rPr>
        <w:t>甲方：</w:t>
      </w:r>
    </w:p>
    <w:p w14:paraId="2331CD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8"/>
          <w:szCs w:val="28"/>
          <w:lang w:val="en-US" w:eastAsia="zh-CN" w:bidi="ar-SA"/>
        </w:rPr>
      </w:pPr>
      <w:r>
        <w:rPr>
          <w:rFonts w:hint="default" w:ascii="Times New Roman" w:hAnsi="Times New Roman" w:eastAsia="黑体" w:cs="Times New Roman"/>
          <w:color w:val="auto"/>
          <w:sz w:val="28"/>
          <w:szCs w:val="28"/>
          <w:lang w:val="en-US" w:eastAsia="zh-CN" w:bidi="ar-SA"/>
        </w:rPr>
        <w:t>乙方：</w:t>
      </w:r>
    </w:p>
    <w:p w14:paraId="69A621C6">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根据《中华人民共和国民法典》及2026年法律服务采购项目（第二次）（项目编号：YYCG【2025】022号）的磋商文件、乙方的响应文件及《成交通知书》，甲、乙双方同意签订本合同。合同附件及本项目的磋商文件、响应文件、《成交通知书》等均为本合同不可分割的部分。双方同意共同遵守如下条款：</w:t>
      </w:r>
    </w:p>
    <w:p w14:paraId="2AA61B21">
      <w:pPr>
        <w:keepNext w:val="0"/>
        <w:keepLines w:val="0"/>
        <w:pageBreakBefore w:val="0"/>
        <w:numPr>
          <w:ilvl w:val="0"/>
          <w:numId w:val="4"/>
        </w:numPr>
        <w:kinsoku/>
        <w:overflowPunct/>
        <w:topLinePunct w:val="0"/>
        <w:autoSpaceDE/>
        <w:autoSpaceDN/>
        <w:bidi w:val="0"/>
        <w:adjustRightInd/>
        <w:snapToGrid/>
        <w:spacing w:line="520" w:lineRule="exact"/>
        <w:ind w:left="0" w:firstLine="560" w:firstLineChars="200"/>
        <w:textAlignment w:val="auto"/>
        <w:rPr>
          <w:rFonts w:hint="eastAsia" w:ascii="黑体" w:hAnsi="黑体" w:eastAsia="黑体" w:cs="黑体"/>
          <w:b w:val="0"/>
          <w:bCs w:val="0"/>
          <w:color w:val="auto"/>
          <w:sz w:val="28"/>
          <w:szCs w:val="28"/>
          <w:lang w:val="en-US" w:eastAsia="zh-CN" w:bidi="ar-SA"/>
        </w:rPr>
      </w:pPr>
      <w:r>
        <w:rPr>
          <w:rFonts w:hint="eastAsia" w:ascii="黑体" w:hAnsi="黑体" w:eastAsia="黑体" w:cs="黑体"/>
          <w:b w:val="0"/>
          <w:bCs w:val="0"/>
          <w:color w:val="auto"/>
          <w:sz w:val="28"/>
          <w:szCs w:val="28"/>
          <w:lang w:val="en-US" w:eastAsia="zh-CN" w:bidi="ar-SA"/>
        </w:rPr>
        <w:t>服务要求及支付</w:t>
      </w:r>
    </w:p>
    <w:p w14:paraId="6E08DCC3">
      <w:pPr>
        <w:keepNext w:val="0"/>
        <w:keepLines w:val="0"/>
        <w:pageBreakBefore w:val="0"/>
        <w:kinsoku/>
        <w:overflowPunct/>
        <w:topLinePunct w:val="0"/>
        <w:autoSpaceDE/>
        <w:autoSpaceDN/>
        <w:bidi w:val="0"/>
        <w:adjustRightInd/>
        <w:snapToGrid/>
        <w:spacing w:line="520" w:lineRule="exact"/>
        <w:ind w:firstLine="720" w:firstLineChars="3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（一）乙方接受甲方聘请，指派专业律师团队（附磋商文件中拟派人员表）担任甲方（</w:t>
      </w:r>
      <w:r>
        <w:rPr>
          <w:rFonts w:hint="eastAsia" w:asciiTheme="minorEastAsia" w:hAnsiTheme="minorEastAsia" w:eastAsiaTheme="minorEastAsia" w:cstheme="minorEastAsia"/>
          <w:color w:val="auto"/>
          <w:sz w:val="24"/>
          <w:szCs w:val="24"/>
          <w:lang w:val="en-US" w:eastAsia="zh-CN" w:bidi="ar-SA"/>
        </w:rPr>
        <w:sym w:font="Wingdings 2" w:char="0052"/>
      </w:r>
      <w:r>
        <w:rPr>
          <w:rFonts w:hint="eastAsia" w:asciiTheme="minorEastAsia" w:hAnsiTheme="minorEastAsia" w:eastAsiaTheme="minorEastAsia" w:cstheme="minorEastAsia"/>
          <w:color w:val="auto"/>
          <w:sz w:val="24"/>
          <w:szCs w:val="24"/>
          <w:lang w:val="en-US" w:eastAsia="zh-CN" w:bidi="ar-SA"/>
        </w:rPr>
        <w:t>常年、□专项）及甲方下属子公司法律顾问。因法律业务需要，如重大或紧急事项需要双方现场交涉业务，乙方应在接到采购人通知后3小时内达到采购人指定地点。需要完成立案的，乙方按采购人要求在合理时间内完成委托案件的立案。</w:t>
      </w:r>
    </w:p>
    <w:p w14:paraId="643BB8B3">
      <w:pPr>
        <w:keepNext w:val="0"/>
        <w:keepLines w:val="0"/>
        <w:pageBreakBefore w:val="0"/>
        <w:widowControl/>
        <w:shd w:val="clear" w:color="auto" w:fill="auto"/>
        <w:kinsoku/>
        <w:wordWrap/>
        <w:overflowPunct/>
        <w:topLinePunct w:val="0"/>
        <w:autoSpaceDE/>
        <w:autoSpaceDN/>
        <w:bidi w:val="0"/>
        <w:adjustRightInd/>
        <w:snapToGrid/>
        <w:spacing w:line="440" w:lineRule="exact"/>
        <w:ind w:left="0" w:firstLine="720" w:firstLineChars="3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（二）甲方向乙方支付常年法律顾问费（大写）</w:t>
      </w:r>
      <w:r>
        <w:rPr>
          <w:rFonts w:hint="eastAsia" w:asciiTheme="minorEastAsia" w:hAnsiTheme="minorEastAsia" w:eastAsiaTheme="minorEastAsia" w:cstheme="minorEastAsia"/>
          <w:color w:val="auto"/>
          <w:sz w:val="24"/>
          <w:szCs w:val="24"/>
          <w:u w:val="single"/>
          <w:lang w:val="en-US" w:eastAsia="zh-CN" w:bidi="ar-SA"/>
        </w:rPr>
        <w:t xml:space="preserve">    </w:t>
      </w:r>
      <w:r>
        <w:rPr>
          <w:rFonts w:hint="eastAsia" w:asciiTheme="minorEastAsia" w:hAnsiTheme="minorEastAsia" w:eastAsiaTheme="minorEastAsia" w:cstheme="minorEastAsia"/>
          <w:color w:val="auto"/>
          <w:sz w:val="24"/>
          <w:szCs w:val="24"/>
          <w:lang w:val="en-US" w:eastAsia="zh-CN" w:bidi="ar-SA"/>
        </w:rPr>
        <w:t>万元整。甲方应于本合同签订，乙方提供正式票据后15个工作日支付合同总金额的50%；乙方提供年度法律服务总结并提供正式票据后15个工作日支付剩余费用。</w:t>
      </w:r>
    </w:p>
    <w:p w14:paraId="7602691A">
      <w:pPr>
        <w:keepNext w:val="0"/>
        <w:keepLines w:val="0"/>
        <w:pageBreakBefore w:val="0"/>
        <w:widowControl/>
        <w:shd w:val="clear" w:color="auto" w:fill="auto"/>
        <w:kinsoku/>
        <w:wordWrap/>
        <w:overflowPunct/>
        <w:topLinePunct w:val="0"/>
        <w:autoSpaceDE/>
        <w:autoSpaceDN/>
        <w:bidi w:val="0"/>
        <w:adjustRightInd/>
        <w:snapToGrid/>
        <w:spacing w:line="440" w:lineRule="exact"/>
        <w:ind w:left="0" w:firstLine="720" w:firstLineChars="3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三）专项法律服务费：出具法律意见书、见证、尽职调查等非诉法律服务事项。其中尽职调查报告服务费定为2000元/件，市（泸州市）外差旅费实报实销；其他非诉服务：复杂且涉及项目金额100-500万元的，服务费定为3000元/件；重大复杂且金额在500万元-1000万元的，服务费定为5000元/件；重大复杂且金额在1000万元以上的，根据工作量，另行协商，最高不超过3万元/件。</w:t>
      </w:r>
    </w:p>
    <w:p w14:paraId="64B0D947">
      <w:pPr>
        <w:keepNext w:val="0"/>
        <w:keepLines w:val="0"/>
        <w:pageBreakBefore w:val="0"/>
        <w:kinsoku/>
        <w:overflowPunct/>
        <w:topLinePunct w:val="0"/>
        <w:autoSpaceDE/>
        <w:autoSpaceDN/>
        <w:bidi w:val="0"/>
        <w:adjustRightInd/>
        <w:snapToGrid/>
        <w:spacing w:line="520" w:lineRule="exact"/>
        <w:ind w:left="0" w:firstLine="720" w:firstLineChars="3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（四）诉讼案件代理费：</w:t>
      </w:r>
      <w:r>
        <w:rPr>
          <w:rFonts w:hint="eastAsia" w:ascii="宋体" w:hAnsi="宋体" w:eastAsia="宋体" w:cs="宋体"/>
          <w:color w:val="auto"/>
          <w:spacing w:val="-2"/>
          <w:sz w:val="24"/>
          <w:szCs w:val="24"/>
          <w:highlight w:val="none"/>
          <w:lang w:val="en-US" w:eastAsia="zh-CN"/>
        </w:rPr>
        <w:t>涉及金额在10万以下案件免费代理至少五件，超过件数最高限价2000元/件；涉及金额</w:t>
      </w:r>
      <w:r>
        <w:rPr>
          <w:rFonts w:hint="eastAsia" w:ascii="宋体" w:hAnsi="宋体" w:cs="宋体"/>
          <w:color w:val="auto"/>
          <w:spacing w:val="-2"/>
          <w:sz w:val="24"/>
          <w:szCs w:val="24"/>
          <w:highlight w:val="none"/>
          <w:lang w:val="en-US" w:eastAsia="zh-CN"/>
        </w:rPr>
        <w:t>在</w:t>
      </w:r>
      <w:r>
        <w:rPr>
          <w:rFonts w:hint="eastAsia" w:ascii="宋体" w:hAnsi="宋体" w:eastAsia="宋体" w:cs="宋体"/>
          <w:color w:val="auto"/>
          <w:spacing w:val="-2"/>
          <w:sz w:val="24"/>
          <w:szCs w:val="24"/>
          <w:highlight w:val="none"/>
          <w:lang w:val="en-US" w:eastAsia="zh-CN"/>
        </w:rPr>
        <w:t>10万</w:t>
      </w:r>
      <w:r>
        <w:rPr>
          <w:rFonts w:hint="eastAsia" w:ascii="宋体" w:hAnsi="宋体" w:cs="宋体"/>
          <w:color w:val="auto"/>
          <w:spacing w:val="-2"/>
          <w:sz w:val="24"/>
          <w:szCs w:val="24"/>
          <w:highlight w:val="none"/>
          <w:lang w:val="en-US" w:eastAsia="zh-CN"/>
        </w:rPr>
        <w:t>到</w:t>
      </w:r>
      <w:r>
        <w:rPr>
          <w:rFonts w:hint="eastAsia" w:ascii="宋体" w:hAnsi="宋体" w:eastAsia="宋体" w:cs="宋体"/>
          <w:color w:val="auto"/>
          <w:spacing w:val="-2"/>
          <w:sz w:val="24"/>
          <w:szCs w:val="24"/>
          <w:highlight w:val="none"/>
          <w:lang w:val="en-US" w:eastAsia="zh-CN"/>
        </w:rPr>
        <w:t>100万元</w:t>
      </w:r>
      <w:r>
        <w:rPr>
          <w:rFonts w:hint="eastAsia" w:ascii="宋体" w:hAnsi="宋体" w:cs="宋体"/>
          <w:color w:val="auto"/>
          <w:spacing w:val="-2"/>
          <w:sz w:val="24"/>
          <w:szCs w:val="24"/>
          <w:highlight w:val="none"/>
          <w:lang w:val="en-US" w:eastAsia="zh-CN"/>
        </w:rPr>
        <w:t>部分</w:t>
      </w:r>
      <w:r>
        <w:rPr>
          <w:rFonts w:hint="eastAsia" w:ascii="宋体" w:hAnsi="宋体" w:eastAsia="宋体" w:cs="宋体"/>
          <w:color w:val="auto"/>
          <w:spacing w:val="-2"/>
          <w:sz w:val="24"/>
          <w:szCs w:val="24"/>
          <w:highlight w:val="none"/>
          <w:lang w:val="en-US" w:eastAsia="zh-CN"/>
        </w:rPr>
        <w:t>，最高限价为标的金额的3%；涉及金额在100万到500万元</w:t>
      </w:r>
      <w:r>
        <w:rPr>
          <w:rFonts w:hint="eastAsia" w:ascii="宋体" w:hAnsi="宋体" w:cs="宋体"/>
          <w:color w:val="auto"/>
          <w:spacing w:val="-2"/>
          <w:sz w:val="24"/>
          <w:szCs w:val="24"/>
          <w:highlight w:val="none"/>
          <w:lang w:val="en-US" w:eastAsia="zh-CN"/>
        </w:rPr>
        <w:t>部分</w:t>
      </w:r>
      <w:r>
        <w:rPr>
          <w:rFonts w:hint="eastAsia" w:ascii="宋体" w:hAnsi="宋体" w:eastAsia="宋体" w:cs="宋体"/>
          <w:color w:val="auto"/>
          <w:spacing w:val="-2"/>
          <w:sz w:val="24"/>
          <w:szCs w:val="24"/>
          <w:highlight w:val="none"/>
          <w:lang w:val="en-US" w:eastAsia="zh-CN"/>
        </w:rPr>
        <w:t>，最高限价为标的金额的2% ；涉及金额在500万到1000万元</w:t>
      </w:r>
      <w:r>
        <w:rPr>
          <w:rFonts w:hint="eastAsia" w:ascii="宋体" w:hAnsi="宋体" w:cs="宋体"/>
          <w:color w:val="auto"/>
          <w:spacing w:val="-2"/>
          <w:sz w:val="24"/>
          <w:szCs w:val="24"/>
          <w:highlight w:val="none"/>
          <w:lang w:val="en-US" w:eastAsia="zh-CN"/>
        </w:rPr>
        <w:t>部分</w:t>
      </w:r>
      <w:r>
        <w:rPr>
          <w:rFonts w:hint="eastAsia" w:ascii="宋体" w:hAnsi="宋体" w:eastAsia="宋体" w:cs="宋体"/>
          <w:color w:val="auto"/>
          <w:spacing w:val="-2"/>
          <w:sz w:val="24"/>
          <w:szCs w:val="24"/>
          <w:highlight w:val="none"/>
          <w:lang w:val="en-US" w:eastAsia="zh-CN"/>
        </w:rPr>
        <w:t>，最高限价为标的金额的1%</w:t>
      </w:r>
      <w:r>
        <w:rPr>
          <w:rFonts w:hint="eastAsia" w:ascii="宋体" w:hAnsi="宋体" w:cs="宋体"/>
          <w:color w:val="auto"/>
          <w:sz w:val="24"/>
          <w:szCs w:val="24"/>
          <w:highlight w:val="none"/>
        </w:rPr>
        <w:t xml:space="preserve"> ；涉及金额在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000万以上</w:t>
      </w:r>
      <w:r>
        <w:rPr>
          <w:rFonts w:hint="eastAsia" w:ascii="宋体" w:hAnsi="宋体" w:cs="宋体"/>
          <w:color w:val="auto"/>
          <w:sz w:val="24"/>
          <w:szCs w:val="24"/>
          <w:highlight w:val="none"/>
          <w:lang w:val="en-US" w:eastAsia="zh-CN"/>
        </w:rPr>
        <w:t>的部分</w:t>
      </w:r>
      <w:r>
        <w:rPr>
          <w:rFonts w:hint="eastAsia" w:ascii="宋体" w:hAnsi="宋体" w:cs="宋体"/>
          <w:color w:val="auto"/>
          <w:sz w:val="24"/>
          <w:szCs w:val="24"/>
          <w:highlight w:val="none"/>
        </w:rPr>
        <w:t>，最高限价为</w:t>
      </w:r>
      <w:r>
        <w:rPr>
          <w:rFonts w:hint="eastAsia" w:ascii="宋体" w:hAnsi="宋体" w:eastAsia="宋体" w:cs="宋体"/>
          <w:color w:val="auto"/>
          <w:spacing w:val="-2"/>
          <w:sz w:val="24"/>
          <w:szCs w:val="24"/>
          <w:highlight w:val="none"/>
          <w:lang w:val="en-US" w:eastAsia="zh-CN"/>
        </w:rPr>
        <w:t>标的金额的0.5%</w:t>
      </w:r>
      <w:r>
        <w:rPr>
          <w:rFonts w:hint="eastAsia" w:ascii="宋体" w:hAnsi="宋体" w:cs="宋体"/>
          <w:color w:val="auto"/>
          <w:sz w:val="24"/>
          <w:szCs w:val="24"/>
          <w:highlight w:val="none"/>
        </w:rPr>
        <w:t xml:space="preserve"> 。</w:t>
      </w:r>
      <w:r>
        <w:rPr>
          <w:rFonts w:hint="eastAsia" w:asciiTheme="minorEastAsia" w:hAnsiTheme="minorEastAsia" w:eastAsiaTheme="minorEastAsia" w:cstheme="minorEastAsia"/>
          <w:color w:val="auto"/>
          <w:sz w:val="24"/>
          <w:szCs w:val="24"/>
          <w:lang w:val="en-US" w:eastAsia="zh-CN" w:bidi="ar-SA"/>
        </w:rPr>
        <w:t>诉讼案件代理费分阶段累计计算。代理省外案件的，差旅费实报实销，省内案件代理差旅费自理。乙方律师为甲方提供日常法律服务时，所产生的交通食宿、查档、复（打）印费等费用均包含在已支付顾问费中。另有合同约定除外。</w:t>
      </w:r>
    </w:p>
    <w:p w14:paraId="4CB2B232">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（五）乙方律师担任常年法律顾问的工作内容（凡划去者无效）：</w:t>
      </w:r>
    </w:p>
    <w:p w14:paraId="32560327">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1.为甲方涉及法律方面的事务提供法律咨询；</w:t>
      </w:r>
    </w:p>
    <w:p w14:paraId="6AC03985">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2.为甲方草拟、审查、修改法律事务文书；</w:t>
      </w:r>
    </w:p>
    <w:p w14:paraId="5F5C62F7">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 xml:space="preserve">3.参与甲方的经济合同谈判和其他商务谈判，为甲方提供法律意见； </w:t>
      </w:r>
    </w:p>
    <w:p w14:paraId="072478A2">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4.应邀为甲方的有关法律事务出具法律意见书或进行见证；</w:t>
      </w:r>
    </w:p>
    <w:p w14:paraId="5B076AC9">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5.接受甲方委托，对有关企业或项目进行资信或可行性调查，并出具调查报告；</w:t>
      </w:r>
    </w:p>
    <w:p w14:paraId="6DAB8C4F">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6.代甲方发布有关的声明、公告、致函等法律文书；</w:t>
      </w:r>
    </w:p>
    <w:p w14:paraId="69AF6363">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7.向甲方提供有关法律信息；</w:t>
      </w:r>
    </w:p>
    <w:p w14:paraId="2EFEBA64">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8.每年协助甲方开展宣传4次教育，运用法律手段加强企业管理；</w:t>
      </w:r>
    </w:p>
    <w:p w14:paraId="39BA95B4">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 xml:space="preserve">9.协助甲方参与处理甲方尚未形成的诉讼或仲裁民事、经济、行政争议或其他重大纠纷。    </w:t>
      </w:r>
    </w:p>
    <w:p w14:paraId="2289719E">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（六）乙方办理合同第三条第1、2、3、4、5、7、8、9项的工作免收法律服务费，其他工作均作为专项法律服务或代理案件，并视情况按收费标准给予优惠，双方协商一致后，另行签署协议。</w:t>
      </w:r>
    </w:p>
    <w:p w14:paraId="089A99B0">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（七）乙方律师担任的法律顾问工作内容（专项法律顾问重大项目的非诉服务）：</w:t>
      </w:r>
    </w:p>
    <w:p w14:paraId="5A38DDE6">
      <w:pPr>
        <w:keepNext w:val="0"/>
        <w:keepLines w:val="0"/>
        <w:pageBreakBefore w:val="0"/>
        <w:numPr>
          <w:ilvl w:val="0"/>
          <w:numId w:val="0"/>
        </w:numPr>
        <w:kinsoku/>
        <w:overflowPunct/>
        <w:topLinePunct w:val="0"/>
        <w:autoSpaceDE/>
        <w:autoSpaceDN/>
        <w:bidi w:val="0"/>
        <w:adjustRightInd/>
        <w:snapToGrid/>
        <w:spacing w:line="520" w:lineRule="exact"/>
        <w:ind w:left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1.提供重大项目的专项咨询；</w:t>
      </w:r>
    </w:p>
    <w:p w14:paraId="4C1B63D9">
      <w:pPr>
        <w:keepNext w:val="0"/>
        <w:keepLines w:val="0"/>
        <w:pageBreakBefore w:val="0"/>
        <w:numPr>
          <w:ilvl w:val="0"/>
          <w:numId w:val="0"/>
        </w:numPr>
        <w:kinsoku/>
        <w:overflowPunct/>
        <w:topLinePunct w:val="0"/>
        <w:autoSpaceDE/>
        <w:autoSpaceDN/>
        <w:bidi w:val="0"/>
        <w:adjustRightInd/>
        <w:snapToGrid/>
        <w:spacing w:line="520" w:lineRule="exact"/>
        <w:ind w:left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2.参与重大项目工作会议、谈判；</w:t>
      </w:r>
    </w:p>
    <w:p w14:paraId="127250D6">
      <w:pPr>
        <w:keepNext w:val="0"/>
        <w:keepLines w:val="0"/>
        <w:pageBreakBefore w:val="0"/>
        <w:numPr>
          <w:ilvl w:val="0"/>
          <w:numId w:val="0"/>
        </w:numPr>
        <w:kinsoku/>
        <w:overflowPunct/>
        <w:topLinePunct w:val="0"/>
        <w:autoSpaceDE/>
        <w:autoSpaceDN/>
        <w:bidi w:val="0"/>
        <w:adjustRightInd/>
        <w:snapToGrid/>
        <w:spacing w:line="520" w:lineRule="exact"/>
        <w:ind w:left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3.提供重大项目的专项法律意见或出具书面法律意见；</w:t>
      </w:r>
    </w:p>
    <w:p w14:paraId="6802F099">
      <w:pPr>
        <w:keepNext w:val="0"/>
        <w:keepLines w:val="0"/>
        <w:pageBreakBefore w:val="0"/>
        <w:numPr>
          <w:ilvl w:val="0"/>
          <w:numId w:val="0"/>
        </w:numPr>
        <w:kinsoku/>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4.参与并协助处置突发紧急事件；</w:t>
      </w:r>
    </w:p>
    <w:p w14:paraId="2BF309A5">
      <w:pPr>
        <w:keepNext w:val="0"/>
        <w:keepLines w:val="0"/>
        <w:pageBreakBefore w:val="0"/>
        <w:numPr>
          <w:ilvl w:val="0"/>
          <w:numId w:val="0"/>
        </w:numPr>
        <w:kinsoku/>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5.案件代理服务。</w:t>
      </w:r>
    </w:p>
    <w:p w14:paraId="6FD435DF">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（八）本合同以上条款不能概明之事项，可在本条款下另行特别约定：</w:t>
      </w:r>
    </w:p>
    <w:p w14:paraId="5EBD9961">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1.帮助甲方建立、完善公司法人治理机制；</w:t>
      </w:r>
    </w:p>
    <w:p w14:paraId="5B84D9C1">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2.审查、修改甲方各项规章制度；</w:t>
      </w:r>
    </w:p>
    <w:p w14:paraId="23A9AC8D">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3.帮助甲方规范公司业务流程；</w:t>
      </w:r>
    </w:p>
    <w:p w14:paraId="06A7D2BF">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4.不定期对甲方员工进行法律知识培训，集中解答法律问题；</w:t>
      </w:r>
    </w:p>
    <w:p w14:paraId="3CF7D5F2">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5.针对甲方在生产经营过程中出现的法律问题每半年向甲方出具法律意见书。</w:t>
      </w:r>
    </w:p>
    <w:p w14:paraId="7FDC57AA">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lang w:val="en-US" w:eastAsia="zh-CN"/>
        </w:rPr>
      </w:pPr>
      <w:r>
        <w:rPr>
          <w:rFonts w:hint="eastAsia" w:asciiTheme="minorEastAsia" w:hAnsiTheme="minorEastAsia" w:eastAsiaTheme="minorEastAsia" w:cstheme="minorEastAsia"/>
          <w:color w:val="auto"/>
          <w:sz w:val="24"/>
          <w:szCs w:val="24"/>
          <w:lang w:val="en-US" w:eastAsia="zh-CN" w:bidi="ar-SA"/>
        </w:rPr>
        <w:t>6.若因乙方审查修改合同出现重大过失导致甲方公司损失的的，应由乙方承担赔偿责任。</w:t>
      </w:r>
    </w:p>
    <w:p w14:paraId="2EDD0541">
      <w:pPr>
        <w:keepNext w:val="0"/>
        <w:keepLines w:val="0"/>
        <w:pageBreakBefore w:val="0"/>
        <w:kinsoku/>
        <w:overflowPunct/>
        <w:topLinePunct w:val="0"/>
        <w:autoSpaceDE/>
        <w:autoSpaceDN/>
        <w:bidi w:val="0"/>
        <w:adjustRightInd/>
        <w:snapToGrid/>
        <w:spacing w:line="520" w:lineRule="exact"/>
        <w:ind w:firstLine="840" w:firstLineChars="30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二、服务期限</w:t>
      </w:r>
    </w:p>
    <w:p w14:paraId="4D8BF94C">
      <w:pPr>
        <w:keepNext w:val="0"/>
        <w:keepLines w:val="0"/>
        <w:pageBreakBefore w:val="0"/>
        <w:kinsoku/>
        <w:overflowPunct/>
        <w:topLinePunct w:val="0"/>
        <w:autoSpaceDE/>
        <w:autoSpaceDN/>
        <w:bidi w:val="0"/>
        <w:adjustRightInd/>
        <w:snapToGrid/>
        <w:spacing w:line="520" w:lineRule="exact"/>
        <w:ind w:firstLine="720" w:firstLineChars="300"/>
        <w:textAlignment w:val="auto"/>
        <w:rPr>
          <w:rFonts w:hint="eastAsia"/>
          <w:lang w:val="en-US" w:eastAsia="zh-CN"/>
        </w:rPr>
      </w:pPr>
      <w:r>
        <w:rPr>
          <w:rFonts w:hint="eastAsia" w:asciiTheme="minorEastAsia" w:hAnsiTheme="minorEastAsia" w:eastAsiaTheme="minorEastAsia" w:cstheme="minorEastAsia"/>
          <w:color w:val="auto"/>
          <w:sz w:val="24"/>
          <w:szCs w:val="24"/>
          <w:lang w:val="en-US" w:eastAsia="zh-CN" w:bidi="ar-SA"/>
        </w:rPr>
        <w:t>本合同（常年法律顾问）有效期从2025年   月   日起至2026年  月 日止。合同有效期内，经双方同意，可变更合同条款。专项法律顾问合同有效期自本合同生效时起至专项法律顾问工作完成时止。</w:t>
      </w:r>
    </w:p>
    <w:p w14:paraId="144B6AA2">
      <w:pPr>
        <w:keepNext w:val="0"/>
        <w:keepLines w:val="0"/>
        <w:pageBreakBefore w:val="0"/>
        <w:kinsoku/>
        <w:overflowPunct/>
        <w:topLinePunct w:val="0"/>
        <w:autoSpaceDE/>
        <w:autoSpaceDN/>
        <w:bidi w:val="0"/>
        <w:adjustRightInd/>
        <w:snapToGrid/>
        <w:spacing w:line="520" w:lineRule="exact"/>
        <w:ind w:left="0" w:firstLine="560" w:firstLineChars="200"/>
        <w:textAlignment w:val="auto"/>
        <w:rPr>
          <w:rFonts w:hint="eastAsia" w:ascii="黑体" w:hAnsi="黑体" w:eastAsia="黑体" w:cs="黑体"/>
          <w:b w:val="0"/>
          <w:bCs w:val="0"/>
          <w:color w:val="auto"/>
          <w:sz w:val="28"/>
          <w:szCs w:val="28"/>
          <w:lang w:val="en-US" w:eastAsia="zh-CN" w:bidi="ar-SA"/>
        </w:rPr>
      </w:pPr>
      <w:r>
        <w:rPr>
          <w:rFonts w:hint="eastAsia" w:ascii="黑体" w:hAnsi="黑体" w:eastAsia="黑体" w:cs="黑体"/>
          <w:b w:val="0"/>
          <w:bCs w:val="0"/>
          <w:color w:val="auto"/>
          <w:sz w:val="28"/>
          <w:szCs w:val="28"/>
          <w:lang w:val="en-US" w:eastAsia="zh-CN" w:bidi="ar-SA"/>
        </w:rPr>
        <w:t>三、甲方权利和义务</w:t>
      </w:r>
    </w:p>
    <w:p w14:paraId="13DF8B12">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（一）甲方应当向乙方律师积极提供有关业务资料文件，并保证资料文件的真实性、合法性和完整性，不得隐瞒虚构；</w:t>
      </w:r>
    </w:p>
    <w:p w14:paraId="2661D96B">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（二）为乙方提供工作上的便利，配合乙方工作并保证为工作保密；</w:t>
      </w:r>
    </w:p>
    <w:p w14:paraId="1863F27D">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（三）甲方应当按照本合同约定的金额和支付方式向乙方支付全部法律顾问费用；</w:t>
      </w:r>
    </w:p>
    <w:p w14:paraId="485A8FB5">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（四）甲方有权每季度对乙方团队律师进行考核，甲方有权要求乙方及时更换在服务过程中不负责任，或认为不适合服务的律师。甲方应向乙方提交书面更换律师的函，乙方另行推荐候选律师。</w:t>
      </w:r>
    </w:p>
    <w:p w14:paraId="273A0365">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若甲方考核时该律师已经完成服务事项的，且该季度考核律师服务不合格的，就该律师提供的法律服务事项服务费用酌情扣减，扣减额最多不超过该法律服务合同总金额的30%，在年度结算时从顾问费用中扣减。</w:t>
      </w:r>
    </w:p>
    <w:p w14:paraId="556B509E">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（五）不得要求乙方律师进行违法活动；</w:t>
      </w:r>
    </w:p>
    <w:p w14:paraId="1E34433C">
      <w:pPr>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（六）如乙方无正当理由解除本合同，甲方有权要求乙方退还全部或部分律师服务费和差旅费。</w:t>
      </w:r>
    </w:p>
    <w:p w14:paraId="2A57EF65">
      <w:pPr>
        <w:keepNext w:val="0"/>
        <w:keepLines w:val="0"/>
        <w:pageBreakBefore w:val="0"/>
        <w:kinsoku/>
        <w:overflowPunct/>
        <w:topLinePunct w:val="0"/>
        <w:autoSpaceDE/>
        <w:autoSpaceDN/>
        <w:bidi w:val="0"/>
        <w:adjustRightInd/>
        <w:snapToGrid/>
        <w:spacing w:line="520" w:lineRule="exact"/>
        <w:ind w:left="0" w:firstLine="560" w:firstLineChars="200"/>
        <w:textAlignment w:val="auto"/>
        <w:rPr>
          <w:rFonts w:hint="eastAsia" w:ascii="黑体" w:hAnsi="黑体" w:eastAsia="黑体" w:cs="黑体"/>
          <w:b w:val="0"/>
          <w:bCs w:val="0"/>
          <w:color w:val="auto"/>
          <w:sz w:val="28"/>
          <w:szCs w:val="28"/>
          <w:lang w:val="en-US" w:eastAsia="zh-CN" w:bidi="ar-SA"/>
        </w:rPr>
      </w:pPr>
      <w:r>
        <w:rPr>
          <w:rFonts w:hint="eastAsia" w:ascii="黑体" w:hAnsi="黑体" w:eastAsia="黑体" w:cs="黑体"/>
          <w:b w:val="0"/>
          <w:bCs w:val="0"/>
          <w:color w:val="auto"/>
          <w:sz w:val="28"/>
          <w:szCs w:val="28"/>
          <w:lang w:val="en-US" w:eastAsia="zh-CN" w:bidi="ar-SA"/>
        </w:rPr>
        <w:t>四、乙方的权利和义务</w:t>
      </w:r>
    </w:p>
    <w:p w14:paraId="54F7B499">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（一）乙方接到甲方有关本合同第三条所约定事项之委托时，应及时安排办理；</w:t>
      </w:r>
    </w:p>
    <w:p w14:paraId="133D8B7A">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二）乙方指派担任法律顾问的律师，如因工作变动、调动等原因不能执行职务时，乙方应及时另派律师接替，并以书面形式通知甲方（甲方写明法定住所，乙方以信函方式通知的，自信函发出后的第三日即视为书面通知送达）；</w:t>
      </w:r>
    </w:p>
    <w:p w14:paraId="6A0D5F01">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（三）对甲方提供的重要业务资料，有保密义务。</w:t>
      </w:r>
    </w:p>
    <w:p w14:paraId="356D11AF">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四）乙方律师必须严格遵守律师职业道德和执业纪律，不得泄露在提供服务过程中所知悉的甲方当事人的商业秘密或者个人隐私，非因法律规定或者甲方同意，不得向任何第三方披露。但以下内容除外：（1）甲方人员准备或者正在实施的危害国家安全、公共安全以及其他严重危害他人人身、财产安全的犯罪事实和信息；（2）可以公开查阅或取得的信息和资料；（3）为履行本合同所约定的服务必须进行的工作。</w:t>
      </w:r>
    </w:p>
    <w:p w14:paraId="098FDC13">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（五）签订本合同后，如甲方无正当理由单方解除合同，乙方收取的法律顾问费全部不予退还；如甲方尚未付费，乙方有权对所造成的损失进行追偿。</w:t>
      </w:r>
    </w:p>
    <w:p w14:paraId="59069763">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六）乙方同意并保证，一旦出现甲方认为乙方指派律师不能胜任并投诉时，乙方将在收到甲方正式投诉及核实后三个工作日内及时向甲方另行推荐候选律师，经甲方确认后，立即另行指派该律师予以接替完成约定的事务。</w:t>
      </w:r>
    </w:p>
    <w:p w14:paraId="166D53F0">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七）未经甲方书面授权，乙方不能以甲方名义对外签署有关法律文件；如乙方指派的律师违规或违法执业给甲方造成损失，甲方有权要求乙方赔偿。乙方对甲方违反法律法规及政策之委托，有权不予接受，并不构成违约。</w:t>
      </w:r>
    </w:p>
    <w:p w14:paraId="6B0B8747">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default"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五</w:t>
      </w:r>
      <w:r>
        <w:rPr>
          <w:rFonts w:hint="default" w:ascii="黑体" w:hAnsi="黑体" w:eastAsia="黑体" w:cs="黑体"/>
          <w:color w:val="auto"/>
          <w:sz w:val="28"/>
          <w:szCs w:val="28"/>
          <w:lang w:val="en-US" w:eastAsia="zh-CN" w:bidi="ar-SA"/>
        </w:rPr>
        <w:t>、履约保证金</w:t>
      </w:r>
    </w:p>
    <w:p w14:paraId="30238F48">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（一）乙方须在收到中选通知书后，签订合同</w:t>
      </w:r>
      <w:r>
        <w:rPr>
          <w:rFonts w:hint="eastAsia" w:asciiTheme="minorEastAsia" w:hAnsiTheme="minorEastAsia" w:eastAsiaTheme="minorEastAsia" w:cstheme="minorEastAsia"/>
          <w:color w:val="auto"/>
          <w:sz w:val="24"/>
          <w:szCs w:val="24"/>
          <w:lang w:val="en-US" w:eastAsia="zh-CN" w:bidi="ar-SA"/>
        </w:rPr>
        <w:t>前</w:t>
      </w:r>
      <w:r>
        <w:rPr>
          <w:rFonts w:hint="default" w:asciiTheme="minorEastAsia" w:hAnsiTheme="minorEastAsia" w:eastAsiaTheme="minorEastAsia" w:cstheme="minorEastAsia"/>
          <w:color w:val="auto"/>
          <w:sz w:val="24"/>
          <w:szCs w:val="24"/>
          <w:lang w:val="en-US" w:eastAsia="zh-CN" w:bidi="ar-SA"/>
        </w:rPr>
        <w:t>缴纳</w:t>
      </w:r>
      <w:r>
        <w:rPr>
          <w:rFonts w:hint="eastAsia" w:asciiTheme="minorEastAsia" w:hAnsiTheme="minorEastAsia" w:eastAsiaTheme="minorEastAsia" w:cstheme="minorEastAsia"/>
          <w:color w:val="auto"/>
          <w:sz w:val="24"/>
          <w:szCs w:val="24"/>
          <w:u w:val="single"/>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元（大写：元整）履约保证金。</w:t>
      </w:r>
    </w:p>
    <w:p w14:paraId="280A414E">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（二）履约保证金作为违约金的</w:t>
      </w:r>
      <w:r>
        <w:rPr>
          <w:rFonts w:hint="eastAsia" w:asciiTheme="minorEastAsia" w:hAnsiTheme="minorEastAsia" w:eastAsiaTheme="minorEastAsia" w:cstheme="minorEastAsia"/>
          <w:color w:val="auto"/>
          <w:sz w:val="24"/>
          <w:szCs w:val="24"/>
          <w:lang w:val="en-US" w:eastAsia="zh-CN" w:bidi="ar-SA"/>
        </w:rPr>
        <w:t>一部分</w:t>
      </w:r>
      <w:r>
        <w:rPr>
          <w:rFonts w:hint="default" w:asciiTheme="minorEastAsia" w:hAnsiTheme="minorEastAsia" w:eastAsiaTheme="minorEastAsia" w:cstheme="minorEastAsia"/>
          <w:color w:val="auto"/>
          <w:sz w:val="24"/>
          <w:szCs w:val="24"/>
          <w:lang w:val="en-US" w:eastAsia="zh-CN" w:bidi="ar-SA"/>
        </w:rPr>
        <w:t>用于补偿甲方因乙方不能履行合同义务而蒙受的损失，如乙方违约，乙方同意甲方从履约保证金中扣除乙方给甲方造成的损失，超出履约金部分甲方仍有权向乙方索赔。</w:t>
      </w:r>
    </w:p>
    <w:p w14:paraId="109558E0">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（三）合同履行期间无违约情形的，履约保证金在所有保险到期并经乙方申请后30日内无息退还。</w:t>
      </w:r>
    </w:p>
    <w:p w14:paraId="28AF328F">
      <w:pPr>
        <w:pStyle w:val="2"/>
        <w:rPr>
          <w:rFonts w:hint="eastAsia"/>
          <w:lang w:val="en-US" w:eastAsia="zh-CN"/>
        </w:rPr>
      </w:pPr>
    </w:p>
    <w:p w14:paraId="47986EA0">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六、合同解除、变更和终止</w:t>
      </w:r>
    </w:p>
    <w:p w14:paraId="0CC6D57F">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出现下列任意情形，相对方有权解除合同，同时属于违约行为的，相对方还可以追究其违约责任。</w:t>
      </w:r>
    </w:p>
    <w:p w14:paraId="6E819FD4">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1.协商一致的；</w:t>
      </w:r>
    </w:p>
    <w:p w14:paraId="26F3FB97">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2.因不可抗力导致合同无法履行的；</w:t>
      </w:r>
    </w:p>
    <w:p w14:paraId="7928EAF3">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3.乙方3个月内累计3次不能按约定时间到达现场会议的；</w:t>
      </w:r>
    </w:p>
    <w:p w14:paraId="5AE5EE3C">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4.任意一方违反合同约定，导致合同目的不能实现，经相对方催告后仍不履行的；</w:t>
      </w:r>
    </w:p>
    <w:p w14:paraId="65813DDD">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5.任意一方通过行为明示或暗示不履行或部分不履行合同约定；</w:t>
      </w:r>
    </w:p>
    <w:p w14:paraId="3F3ED2E3">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6.本合同其他条款约定的解除情形。</w:t>
      </w:r>
    </w:p>
    <w:p w14:paraId="0D241D00">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7.任意一方就合同履行有变更的，应与相对方协商一致，签署补充协议。</w:t>
      </w:r>
    </w:p>
    <w:p w14:paraId="7EF90700">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8.双方履行完本合同约定义务后，本合同终止。</w:t>
      </w:r>
    </w:p>
    <w:p w14:paraId="0B460EC9">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七、违约责任</w:t>
      </w:r>
    </w:p>
    <w:p w14:paraId="375441FD">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1.甲方违反法律顾问费用支付约定，经催告支付后仍未支付的，逾期一天按逾期金额的万分之一计算，累计不超过法律顾问费用的20%的违约金。</w:t>
      </w:r>
    </w:p>
    <w:p w14:paraId="627038D1">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2.若任意一方违反除上述违约情形以外的合同约定，造成另一方损失的，应向相对方承担违约赔偿责任，应支付法律顾问费用的20%的违约金。</w:t>
      </w:r>
    </w:p>
    <w:p w14:paraId="4614B229">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3.若一方违约给另一方造成损失的，违约金不足以弥补损失的，应补足。</w:t>
      </w:r>
    </w:p>
    <w:p w14:paraId="1963CD88">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八、双方通讯地址及联系人</w:t>
      </w:r>
    </w:p>
    <w:p w14:paraId="2762E827">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u w:val="single"/>
          <w:lang w:val="en-US" w:eastAsia="zh-CN" w:bidi="ar-SA"/>
        </w:rPr>
      </w:pPr>
      <w:r>
        <w:rPr>
          <w:rFonts w:hint="eastAsia" w:asciiTheme="minorEastAsia" w:hAnsiTheme="minorEastAsia" w:eastAsiaTheme="minorEastAsia" w:cstheme="minorEastAsia"/>
          <w:color w:val="auto"/>
          <w:sz w:val="24"/>
          <w:szCs w:val="24"/>
          <w:u w:val="single"/>
          <w:lang w:val="en-US" w:eastAsia="zh-CN" w:bidi="ar-SA"/>
        </w:rPr>
        <w:t>甲方：      联系电话：          联系地址：江阳区张坝桂圆林西大门综合楼三楼。</w:t>
      </w:r>
    </w:p>
    <w:p w14:paraId="26FE8234">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u w:val="single"/>
          <w:lang w:val="en-US" w:eastAsia="zh-CN" w:bidi="ar-SA"/>
        </w:rPr>
      </w:pPr>
      <w:r>
        <w:rPr>
          <w:rFonts w:hint="eastAsia" w:asciiTheme="minorEastAsia" w:hAnsiTheme="minorEastAsia" w:eastAsiaTheme="minorEastAsia" w:cstheme="minorEastAsia"/>
          <w:color w:val="auto"/>
          <w:sz w:val="24"/>
          <w:szCs w:val="24"/>
          <w:u w:val="single"/>
          <w:lang w:val="en-US" w:eastAsia="zh-CN" w:bidi="ar-SA"/>
        </w:rPr>
        <w:t xml:space="preserve">乙方：     联系电话：          联系地址：                                 </w:t>
      </w:r>
    </w:p>
    <w:p w14:paraId="16CE6FCE">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一方按上述通讯地址向指定的联系人履行了通知义务，视为一方已向另一方履行了通知义务。</w:t>
      </w:r>
    </w:p>
    <w:p w14:paraId="4F62C3B1">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如果甲方需变更通讯地址或联系人，需提前七日通知乙方。</w:t>
      </w:r>
    </w:p>
    <w:p w14:paraId="4826A7A2">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default"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九</w:t>
      </w:r>
      <w:r>
        <w:rPr>
          <w:rFonts w:hint="default" w:ascii="黑体" w:hAnsi="黑体" w:eastAsia="黑体" w:cs="黑体"/>
          <w:color w:val="auto"/>
          <w:sz w:val="28"/>
          <w:szCs w:val="28"/>
          <w:lang w:val="en-US" w:eastAsia="zh-CN" w:bidi="ar-SA"/>
        </w:rPr>
        <w:t>、廉洁条款</w:t>
      </w:r>
    </w:p>
    <w:p w14:paraId="32E62FCF">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若乙方存在商业贿赂行为，甲方有权解除合同并要求乙方支付合同总价20%的违约金。</w:t>
      </w:r>
    </w:p>
    <w:p w14:paraId="12A7621E">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default"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w:t>
      </w:r>
      <w:r>
        <w:rPr>
          <w:rFonts w:hint="default" w:ascii="黑体" w:hAnsi="黑体" w:eastAsia="黑体" w:cs="黑体"/>
          <w:color w:val="auto"/>
          <w:sz w:val="28"/>
          <w:szCs w:val="28"/>
          <w:lang w:val="en-US" w:eastAsia="zh-CN" w:bidi="ar-SA"/>
        </w:rPr>
        <w:t>、争议解决</w:t>
      </w:r>
    </w:p>
    <w:p w14:paraId="6F6F1E5B">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（一）合同履行期间,若双方发生争议，双方本着友好合作的态度，对合同履行过程中发生的违约行为进行及时的协商解决，如不能协商解决可采取（1）方式解决。</w:t>
      </w:r>
    </w:p>
    <w:p w14:paraId="66086D34">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（1）向甲方所在地法院通过诉讼解决。</w:t>
      </w:r>
    </w:p>
    <w:p w14:paraId="6D13E1F8">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（2）向泸州仲裁委员会提请仲裁解决。</w:t>
      </w:r>
    </w:p>
    <w:p w14:paraId="2465E504">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（二）因</w:t>
      </w:r>
      <w:r>
        <w:rPr>
          <w:rFonts w:hint="eastAsia" w:asciiTheme="minorEastAsia" w:hAnsiTheme="minorEastAsia" w:eastAsiaTheme="minorEastAsia" w:cstheme="minorEastAsia"/>
          <w:color w:val="auto"/>
          <w:sz w:val="24"/>
          <w:szCs w:val="24"/>
          <w:lang w:val="en-US" w:eastAsia="zh-CN" w:bidi="ar-SA"/>
        </w:rPr>
        <w:t>一方</w:t>
      </w:r>
      <w:r>
        <w:rPr>
          <w:rFonts w:hint="default" w:asciiTheme="minorEastAsia" w:hAnsiTheme="minorEastAsia" w:eastAsiaTheme="minorEastAsia" w:cstheme="minorEastAsia"/>
          <w:color w:val="auto"/>
          <w:sz w:val="24"/>
          <w:szCs w:val="24"/>
          <w:lang w:val="en-US" w:eastAsia="zh-CN" w:bidi="ar-SA"/>
        </w:rPr>
        <w:t>违约，相对方通过司法途径实现债权而产生的诉讼有关费用，包括但不限于律师费、诉讼费、公告费、保全担保费、公证费、差旅费、专家辅助证人费等费用均由违约方承担。</w:t>
      </w:r>
    </w:p>
    <w:p w14:paraId="5B68DC52">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default"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十一</w:t>
      </w:r>
      <w:r>
        <w:rPr>
          <w:rFonts w:hint="default" w:ascii="黑体" w:hAnsi="黑体" w:eastAsia="黑体" w:cs="黑体"/>
          <w:color w:val="auto"/>
          <w:sz w:val="28"/>
          <w:szCs w:val="28"/>
          <w:lang w:val="en-US" w:eastAsia="zh-CN" w:bidi="ar-SA"/>
        </w:rPr>
        <w:t>、通知和送达</w:t>
      </w:r>
    </w:p>
    <w:p w14:paraId="3699D5ED">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（一）任何一方向对方发出的通知或其他往来文件（以下简称“往来文件”），应按照本条款记载的另一方的联系方式，用邮政特快、电子邮件、手机短信或专人送达方式发出，并在下述条件下送达生效：</w:t>
      </w:r>
    </w:p>
    <w:p w14:paraId="1F52CD6D">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1.以特快专递方式发出的，以收件人签收日为送达日；收件人未签收的，以寄出日后的第五个工作日视为送达；</w:t>
      </w:r>
    </w:p>
    <w:p w14:paraId="0B823783">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2.以手机短信或电子邮件方式发出的，以发出方收到手机或电子邮件发出确认回执时视为送达；</w:t>
      </w:r>
    </w:p>
    <w:p w14:paraId="46B1A2A1">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3.如对方不在的，由对方公司职工签收，若对方拒绝签收的，由两名送达工作人员签字见证，留置送达。</w:t>
      </w:r>
    </w:p>
    <w:p w14:paraId="23CA0013">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同时采用上述几种方式的，以其中最快到达对方的为准。</w:t>
      </w:r>
    </w:p>
    <w:p w14:paraId="7E45CAAA">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（二）本条款项下的联系方式发生变更，变更方应及时书面通知另一方。另一方在收到有关变更前的联系方式所发出的往来文件视为有效。</w:t>
      </w:r>
    </w:p>
    <w:p w14:paraId="39F9EA03">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（三）本合同所载地址也是司法机关司法文书送达地址。</w:t>
      </w:r>
    </w:p>
    <w:p w14:paraId="30DF8C9F">
      <w:pPr>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十二、合同生效及其他</w:t>
      </w:r>
    </w:p>
    <w:p w14:paraId="73F91763">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（一）合同经双方法定代表人或授权委托代理人签名并加盖单位印章后生效。</w:t>
      </w:r>
    </w:p>
    <w:p w14:paraId="627D6F37">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（二）合同执行中涉及合同内容修改或补充的，甲乙双方另行签署补充合同，作为本合同不可分割的一部分。</w:t>
      </w:r>
    </w:p>
    <w:p w14:paraId="0E615630">
      <w:pPr>
        <w:keepNext w:val="0"/>
        <w:keepLines w:val="0"/>
        <w:pageBreakBefore w:val="0"/>
        <w:kinsoku/>
        <w:overflowPunct/>
        <w:topLinePunct w:val="0"/>
        <w:autoSpaceDE/>
        <w:autoSpaceDN/>
        <w:bidi w:val="0"/>
        <w:adjustRightInd/>
        <w:snapToGrid/>
        <w:spacing w:line="520" w:lineRule="exact"/>
        <w:ind w:left="0" w:firstLine="480" w:firstLineChars="200"/>
        <w:textAlignment w:val="auto"/>
        <w:rPr>
          <w:rFonts w:hint="eastAsia" w:ascii="黑体" w:hAnsi="黑体" w:eastAsia="黑体" w:cs="黑体"/>
          <w:b w:val="0"/>
          <w:bCs w:val="0"/>
          <w:color w:val="auto"/>
          <w:sz w:val="28"/>
          <w:szCs w:val="28"/>
          <w:lang w:val="en-US" w:eastAsia="zh-CN" w:bidi="ar-SA"/>
        </w:rPr>
      </w:pPr>
      <w:r>
        <w:rPr>
          <w:rFonts w:hint="default" w:asciiTheme="minorEastAsia" w:hAnsiTheme="minorEastAsia" w:eastAsiaTheme="minorEastAsia" w:cstheme="minorEastAsia"/>
          <w:color w:val="auto"/>
          <w:sz w:val="24"/>
          <w:szCs w:val="24"/>
          <w:lang w:val="en-US" w:eastAsia="zh-CN" w:bidi="ar-SA"/>
        </w:rPr>
        <w:t>（三）本合同一式伍份。甲方执叁份，乙方执贰份，具有同等法律效力。</w:t>
      </w:r>
    </w:p>
    <w:p w14:paraId="225D7E05">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p>
    <w:p w14:paraId="3010DEF6">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（以下无正文）</w:t>
      </w:r>
      <w:r>
        <w:rPr>
          <w:rFonts w:hint="default" w:asciiTheme="minorEastAsia" w:hAnsiTheme="minorEastAsia" w:eastAsiaTheme="minorEastAsia" w:cstheme="minorEastAsia"/>
          <w:color w:val="auto"/>
          <w:sz w:val="24"/>
          <w:szCs w:val="24"/>
          <w:lang w:val="en-US" w:eastAsia="zh-CN" w:bidi="ar-SA"/>
        </w:rPr>
        <w:br w:type="page"/>
      </w:r>
    </w:p>
    <w:p w14:paraId="150A677F">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（签章页）</w:t>
      </w:r>
    </w:p>
    <w:p w14:paraId="1107438D">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甲方：（盖章）</w:t>
      </w:r>
      <w:r>
        <w:rPr>
          <w:rFonts w:hint="default" w:asciiTheme="minorEastAsia" w:hAnsiTheme="minorEastAsia" w:eastAsiaTheme="minorEastAsia" w:cstheme="minorEastAsia"/>
          <w:color w:val="auto"/>
          <w:sz w:val="24"/>
          <w:szCs w:val="24"/>
          <w:lang w:val="en-US" w:eastAsia="zh-CN" w:bidi="ar-SA"/>
        </w:rPr>
        <w:tab/>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ab/>
      </w:r>
      <w:r>
        <w:rPr>
          <w:rFonts w:hint="default" w:asciiTheme="minorEastAsia" w:hAnsiTheme="minorEastAsia" w:eastAsiaTheme="minorEastAsia" w:cstheme="minorEastAsia"/>
          <w:color w:val="auto"/>
          <w:sz w:val="24"/>
          <w:szCs w:val="24"/>
          <w:lang w:val="en-US" w:eastAsia="zh-CN" w:bidi="ar-SA"/>
        </w:rPr>
        <w:t>乙方：（盖章）</w:t>
      </w:r>
    </w:p>
    <w:p w14:paraId="2CF9B088">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法定代表人（签字）：</w:t>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法定代表人（签字）：</w:t>
      </w:r>
    </w:p>
    <w:p w14:paraId="2B5DB4E7">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或授权代表人（签字）：</w:t>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或授权代表人（签字）：</w:t>
      </w:r>
    </w:p>
    <w:p w14:paraId="14140B4B">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联系人：</w:t>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ab/>
      </w:r>
      <w:r>
        <w:rPr>
          <w:rFonts w:hint="default" w:asciiTheme="minorEastAsia" w:hAnsiTheme="minorEastAsia" w:eastAsiaTheme="minorEastAsia" w:cstheme="minorEastAsia"/>
          <w:color w:val="auto"/>
          <w:sz w:val="24"/>
          <w:szCs w:val="24"/>
          <w:lang w:val="en-US" w:eastAsia="zh-CN" w:bidi="ar-SA"/>
        </w:rPr>
        <w:t>联系人：</w:t>
      </w:r>
    </w:p>
    <w:p w14:paraId="0C6FA66D">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联系地址：</w:t>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联系地址：</w:t>
      </w:r>
    </w:p>
    <w:p w14:paraId="6CF9ED88">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开户银行：</w:t>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开户银行：</w:t>
      </w:r>
    </w:p>
    <w:p w14:paraId="5F5DA0E5">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账号：</w:t>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账号：</w:t>
      </w:r>
    </w:p>
    <w:p w14:paraId="2337537D">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电话：</w:t>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电话：</w:t>
      </w:r>
    </w:p>
    <w:p w14:paraId="1FDE2061">
      <w:pPr>
        <w:pStyle w:val="2"/>
        <w:keepNext w:val="0"/>
        <w:keepLines w:val="0"/>
        <w:pageBreakBefore w:val="0"/>
        <w:widowControl w:val="0"/>
        <w:kinsoku/>
        <w:wordWrap/>
        <w:overflowPunct/>
        <w:topLinePunct w:val="0"/>
        <w:autoSpaceDE/>
        <w:autoSpaceDN/>
        <w:bidi w:val="0"/>
        <w:adjustRightInd/>
        <w:snapToGrid/>
        <w:spacing w:after="0" w:line="500" w:lineRule="exact"/>
        <w:ind w:left="0" w:firstLine="480" w:firstLineChars="200"/>
        <w:textAlignment w:val="auto"/>
        <w:rPr>
          <w:rFonts w:hint="default" w:asciiTheme="minorEastAsia" w:hAnsiTheme="minorEastAsia" w:eastAsiaTheme="minorEastAsia" w:cstheme="minorEastAsia"/>
          <w:color w:val="auto"/>
          <w:sz w:val="24"/>
          <w:szCs w:val="24"/>
          <w:lang w:val="en-US" w:eastAsia="zh-CN" w:bidi="ar-SA"/>
        </w:rPr>
      </w:pPr>
      <w:r>
        <w:rPr>
          <w:rFonts w:hint="default" w:asciiTheme="minorEastAsia" w:hAnsiTheme="minorEastAsia" w:eastAsiaTheme="minorEastAsia" w:cstheme="minorEastAsia"/>
          <w:color w:val="auto"/>
          <w:sz w:val="24"/>
          <w:szCs w:val="24"/>
          <w:lang w:val="en-US" w:eastAsia="zh-CN" w:bidi="ar-SA"/>
        </w:rPr>
        <w:t>签约日期：年月日</w:t>
      </w:r>
      <w:r>
        <w:rPr>
          <w:rFonts w:hint="default" w:asciiTheme="minorEastAsia" w:hAnsiTheme="minorEastAsia" w:eastAsiaTheme="minorEastAsia" w:cstheme="minorEastAsia"/>
          <w:color w:val="auto"/>
          <w:sz w:val="24"/>
          <w:szCs w:val="24"/>
          <w:lang w:val="en-US" w:eastAsia="zh-CN" w:bidi="ar-SA"/>
        </w:rPr>
        <w:tab/>
      </w:r>
      <w:r>
        <w:rPr>
          <w:rFonts w:hint="eastAsia" w:asciiTheme="minorEastAsia" w:hAnsiTheme="minorEastAsia" w:eastAsiaTheme="minorEastAsia" w:cstheme="minorEastAsia"/>
          <w:color w:val="auto"/>
          <w:sz w:val="24"/>
          <w:szCs w:val="24"/>
          <w:lang w:val="en-US" w:eastAsia="zh-CN" w:bidi="ar-SA"/>
        </w:rPr>
        <w:t xml:space="preserve">                         </w:t>
      </w:r>
      <w:r>
        <w:rPr>
          <w:rFonts w:hint="default" w:asciiTheme="minorEastAsia" w:hAnsiTheme="minorEastAsia" w:eastAsiaTheme="minorEastAsia" w:cstheme="minorEastAsia"/>
          <w:color w:val="auto"/>
          <w:sz w:val="24"/>
          <w:szCs w:val="24"/>
          <w:lang w:val="en-US" w:eastAsia="zh-CN" w:bidi="ar-SA"/>
        </w:rPr>
        <w:tab/>
      </w:r>
      <w:r>
        <w:rPr>
          <w:rFonts w:hint="default" w:asciiTheme="minorEastAsia" w:hAnsiTheme="minorEastAsia" w:eastAsiaTheme="minorEastAsia" w:cstheme="minorEastAsia"/>
          <w:color w:val="auto"/>
          <w:sz w:val="24"/>
          <w:szCs w:val="24"/>
          <w:lang w:val="en-US" w:eastAsia="zh-CN" w:bidi="ar-SA"/>
        </w:rPr>
        <w:t>签约日期：年月日</w:t>
      </w:r>
    </w:p>
    <w:permEnd w:id="80"/>
    <w:p w14:paraId="2642259D">
      <w:pPr>
        <w:rPr>
          <w:rFonts w:hint="default" w:eastAsia="宋体"/>
          <w:highlight w:val="none"/>
          <w:lang w:val="en-US" w:eastAsia="zh-CN"/>
        </w:rPr>
      </w:pPr>
    </w:p>
    <w:sectPr>
      <w:pgSz w:w="11907" w:h="16840"/>
      <w:pgMar w:top="992" w:right="1242" w:bottom="1440"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E6EBDF-2C3B-450E-AFE0-D3A9B137334B}"/>
  </w:font>
  <w:font w:name="黑体">
    <w:panose1 w:val="02010609060101010101"/>
    <w:charset w:val="86"/>
    <w:family w:val="auto"/>
    <w:pitch w:val="default"/>
    <w:sig w:usb0="800002BF" w:usb1="38CF7CFA" w:usb2="00000016" w:usb3="00000000" w:csb0="00040001" w:csb1="00000000"/>
    <w:embedRegular r:id="rId2" w:fontKey="{C1FAD1F0-00AA-4AA8-9F7A-0B44B9E0FE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embedRegular r:id="rId3" w:fontKey="{C3B321BC-8DFF-41F5-B734-FBE149EC48E4}"/>
  </w:font>
  <w:font w:name="华文中宋">
    <w:panose1 w:val="02010600040101010101"/>
    <w:charset w:val="86"/>
    <w:family w:val="auto"/>
    <w:pitch w:val="default"/>
    <w:sig w:usb0="00000287" w:usb1="080F0000" w:usb2="00000000" w:usb3="00000000" w:csb0="0004009F" w:csb1="DFD70000"/>
    <w:embedRegular r:id="rId4" w:fontKey="{550F6AC1-C475-4E09-8864-047A4FBCB636}"/>
  </w:font>
  <w:font w:name="微软雅黑">
    <w:panose1 w:val="020B0503020204020204"/>
    <w:charset w:val="86"/>
    <w:family w:val="swiss"/>
    <w:pitch w:val="default"/>
    <w:sig w:usb0="80000287" w:usb1="2ACF3C50" w:usb2="00000016" w:usb3="00000000" w:csb0="0004001F" w:csb1="00000000"/>
    <w:embedRegular r:id="rId5" w:fontKey="{9EEDFEF4-4D93-40B1-BF19-AD438CF311B8}"/>
  </w:font>
  <w:font w:name="仿宋">
    <w:panose1 w:val="02010609060101010101"/>
    <w:charset w:val="86"/>
    <w:family w:val="modern"/>
    <w:pitch w:val="default"/>
    <w:sig w:usb0="800002BF" w:usb1="38CF7CFA" w:usb2="00000016" w:usb3="00000000" w:csb0="00040001" w:csb1="00000000"/>
    <w:embedRegular r:id="rId6" w:fontKey="{50A9D60D-C51F-4D68-987A-5B485F1331DB}"/>
  </w:font>
  <w:font w:name="仿宋_GB2312">
    <w:panose1 w:val="02010609030101010101"/>
    <w:charset w:val="86"/>
    <w:family w:val="modern"/>
    <w:pitch w:val="default"/>
    <w:sig w:usb0="00000001" w:usb1="080E0000" w:usb2="00000000" w:usb3="00000000" w:csb0="00040000" w:csb1="00000000"/>
    <w:embedRegular r:id="rId7" w:fontKey="{52E35C0F-C905-44B1-B0CA-2313DF8904C5}"/>
  </w:font>
  <w:font w:name="方正仿宋简体">
    <w:panose1 w:val="03000509000000000000"/>
    <w:charset w:val="86"/>
    <w:family w:val="auto"/>
    <w:pitch w:val="default"/>
    <w:sig w:usb0="00000001" w:usb1="080E0000" w:usb2="00000000" w:usb3="00000000" w:csb0="00040000" w:csb1="00000000"/>
    <w:embedRegular r:id="rId8" w:fontKey="{BD07CA57-CB04-4237-A2BE-121AC5D11E19}"/>
  </w:font>
  <w:font w:name="Wingdings 2">
    <w:panose1 w:val="05020102010507070707"/>
    <w:charset w:val="02"/>
    <w:family w:val="auto"/>
    <w:pitch w:val="default"/>
    <w:sig w:usb0="00000000" w:usb1="00000000" w:usb2="00000000" w:usb3="00000000" w:csb0="80000000" w:csb1="00000000"/>
    <w:embedRegular r:id="rId9" w:fontKey="{C4D9C042-9B28-450D-A90C-C6E87BA2E4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49A8">
    <w:pPr>
      <w:pStyle w:val="12"/>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8BB37">
    <w:pPr>
      <w:pStyle w:val="12"/>
      <w:framePr w:wrap="around" w:vAnchor="text" w:hAnchor="margin" w:xAlign="outside" w:y="1"/>
      <w:rPr>
        <w:rStyle w:val="22"/>
      </w:rPr>
    </w:pPr>
    <w:r>
      <w:fldChar w:fldCharType="begin"/>
    </w:r>
    <w:r>
      <w:rPr>
        <w:rStyle w:val="22"/>
      </w:rPr>
      <w:instrText xml:space="preserve">PAGE  </w:instrText>
    </w:r>
    <w:r>
      <w:fldChar w:fldCharType="end"/>
    </w:r>
  </w:p>
  <w:p w14:paraId="15DB5390">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ADC2">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B1B2FC">
                          <w:pPr>
                            <w:pStyle w:val="12"/>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DB1B2FC">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A0FC">
    <w:pPr>
      <w:pStyle w:val="12"/>
      <w:rPr>
        <w:rStyle w:val="22"/>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0770F0">
                          <w:pPr>
                            <w:pStyle w:val="12"/>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C0770F0">
                    <w:pPr>
                      <w:pStyle w:val="12"/>
                    </w:pPr>
                    <w:r>
                      <w:fldChar w:fldCharType="begin"/>
                    </w:r>
                    <w:r>
                      <w:instrText xml:space="preserve"> PAGE  \* MERGEFORMAT </w:instrText>
                    </w:r>
                    <w:r>
                      <w:fldChar w:fldCharType="separate"/>
                    </w:r>
                    <w:r>
                      <w:t>22</w:t>
                    </w:r>
                    <w:r>
                      <w:fldChar w:fldCharType="end"/>
                    </w:r>
                  </w:p>
                </w:txbxContent>
              </v:textbox>
            </v:shape>
          </w:pict>
        </mc:Fallback>
      </mc:AlternateContent>
    </w:r>
  </w:p>
  <w:p w14:paraId="2BE3AF00">
    <w:pPr>
      <w:pStyle w:val="12"/>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1388">
    <w:pPr>
      <w:pStyle w:val="13"/>
      <w:pBdr>
        <w:top w:val="none" w:color="000000" w:sz="0" w:space="0"/>
        <w:left w:val="none" w:color="000000" w:sz="0" w:space="0"/>
        <w:bottom w:val="none" w:color="auto" w:sz="0" w:space="0"/>
        <w:right w:val="none" w:color="000000" w:sz="0" w:space="0"/>
      </w:pBdr>
      <w:snapToGrid w:val="0"/>
      <w:spacing w:after="160"/>
    </w:pPr>
    <w:r>
      <w:pict>
        <v:shape id="PowerPlusWaterMarkObject60008" o:spid="_x0000_s2049" o:spt="136" type="#_x0000_t136" style="position:absolute;left:0pt;height:39pt;width:548.25pt;mso-position-horizontal:center;mso-position-horizontal-relative:margin;mso-position-vertical:center;mso-position-vertical-relative:margin;rotation:-2949120f;z-index:-251657216;mso-width-relative:page;mso-height-relative:page;" fillcolor="#C0C0C0" filled="t" stroked="f" coordsize="21600,21600" adj="10800">
          <v:path/>
          <v:fill on="t" color2="#FFFFFF" opacity="32768f" focussize="0,0"/>
          <v:stroke on="f"/>
          <v:imagedata o:title=""/>
          <o:lock v:ext="edit" aspectratio="t"/>
          <v:textpath on="t" fitshape="t" fitpath="t" trim="t" xscale="f" string="仅限裕阳公司及子公司磋商使用"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14AD">
    <w:pPr>
      <w:pStyle w:val="13"/>
      <w:pBdr>
        <w:top w:val="none" w:color="000000" w:sz="0" w:space="0"/>
        <w:left w:val="none" w:color="000000" w:sz="0" w:space="0"/>
        <w:bottom w:val="none" w:color="auto" w:sz="0" w:space="0"/>
        <w:right w:val="none" w:color="000000" w:sz="0" w:space="0"/>
      </w:pBdr>
      <w:snapToGrid w:val="0"/>
      <w:spacing w:after="160"/>
    </w:pPr>
    <w:r>
      <w:pict>
        <v:shape id="_x0000_s2061" o:spid="_x0000_s2061" o:spt="136" type="#_x0000_t136" style="position:absolute;left:0pt;height:39pt;width:548.25pt;mso-position-horizontal:center;mso-position-horizontal-relative:margin;mso-position-vertical:center;mso-position-vertical-relative:margin;rotation:-2949120f;z-index:-251655168;mso-width-relative:page;mso-height-relative:page;" fillcolor="#C0C0C0" filled="t" stroked="f" coordsize="21600,21600" adj="10800">
          <v:path/>
          <v:fill on="t" color2="#FFFFFF" opacity="32768f" focussize="0,0"/>
          <v:stroke on="f"/>
          <v:imagedata o:title=""/>
          <o:lock v:ext="edit" aspectratio="t"/>
          <v:textpath on="t" fitshape="t" fitpath="t" trim="t" xscale="f" string="仅限裕阳公司及子公司磋商使用" style="font-family:宋体;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FBF7">
    <w:pPr>
      <w:pStyle w:val="13"/>
      <w:rPr>
        <w:rFonts w:hint="eastAsia"/>
        <w:sz w:val="28"/>
        <w:szCs w:val="28"/>
        <w:u w:val="single"/>
      </w:rPr>
    </w:pPr>
    <w:r>
      <w:pict>
        <v:shape id="_x0000_s2054" o:spid="_x0000_s2054" o:spt="136" type="#_x0000_t136" style="position:absolute;left:0pt;height:39pt;width:548.25pt;mso-position-horizontal:center;mso-position-horizontal-relative:margin;mso-position-vertical:center;mso-position-vertical-relative:margin;rotation:-2949120f;z-index:-251656192;mso-width-relative:page;mso-height-relative:page;" fillcolor="#C0C0C0" filled="t" stroked="f" coordsize="21600,21600" adj="10800">
          <v:path/>
          <v:fill on="t" color2="#FFFFFF" opacity="32768f" focussize="0,0"/>
          <v:stroke on="f"/>
          <v:imagedata o:title=""/>
          <o:lock v:ext="edit" aspectratio="t"/>
          <v:textpath on="t" fitshape="t" fitpath="t" trim="t" xscale="f" string="仅限裕阳公司及子公司磋商使用"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7DAC5"/>
    <w:multiLevelType w:val="singleLevel"/>
    <w:tmpl w:val="C587DAC5"/>
    <w:lvl w:ilvl="0" w:tentative="0">
      <w:start w:val="1"/>
      <w:numFmt w:val="chineseCounting"/>
      <w:suff w:val="nothing"/>
      <w:lvlText w:val="%1、"/>
      <w:lvlJc w:val="left"/>
      <w:rPr>
        <w:rFonts w:hint="eastAsia"/>
      </w:rPr>
    </w:lvl>
  </w:abstractNum>
  <w:abstractNum w:abstractNumId="1">
    <w:nsid w:val="CA4A6238"/>
    <w:multiLevelType w:val="singleLevel"/>
    <w:tmpl w:val="CA4A6238"/>
    <w:lvl w:ilvl="0" w:tentative="0">
      <w:start w:val="4"/>
      <w:numFmt w:val="chineseCounting"/>
      <w:suff w:val="space"/>
      <w:lvlText w:val="第%1章"/>
      <w:lvlJc w:val="left"/>
      <w:rPr>
        <w:rFonts w:hint="eastAsia"/>
      </w:rPr>
    </w:lvl>
  </w:abstractNum>
  <w:abstractNum w:abstractNumId="2">
    <w:nsid w:val="1FA64864"/>
    <w:multiLevelType w:val="singleLevel"/>
    <w:tmpl w:val="1FA64864"/>
    <w:lvl w:ilvl="0" w:tentative="0">
      <w:start w:val="9"/>
      <w:numFmt w:val="chineseCounting"/>
      <w:suff w:val="nothing"/>
      <w:lvlText w:val="%1、"/>
      <w:lvlJc w:val="left"/>
      <w:rPr>
        <w:rFonts w:hint="eastAsia"/>
      </w:rPr>
    </w:lvl>
  </w:abstractNum>
  <w:abstractNum w:abstractNumId="3">
    <w:nsid w:val="3E37EC3A"/>
    <w:multiLevelType w:val="singleLevel"/>
    <w:tmpl w:val="3E37EC3A"/>
    <w:lvl w:ilvl="0" w:tentative="0">
      <w:start w:val="3"/>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ikIXLbylxZXgX2aG9MpHJlh6k/w=" w:salt="0ozG/jeMOhCwzP2xzeWo2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MDRkMTRiOWMzNGQ5YzEwNGJhYTk5NWVlZmIwMmIifQ=="/>
  </w:docVars>
  <w:rsids>
    <w:rsidRoot w:val="00000000"/>
    <w:rsid w:val="004343E3"/>
    <w:rsid w:val="004F6D53"/>
    <w:rsid w:val="00641E35"/>
    <w:rsid w:val="00B87A8B"/>
    <w:rsid w:val="00F073AD"/>
    <w:rsid w:val="013637D1"/>
    <w:rsid w:val="013825B8"/>
    <w:rsid w:val="01384146"/>
    <w:rsid w:val="01457570"/>
    <w:rsid w:val="0151397A"/>
    <w:rsid w:val="0163355C"/>
    <w:rsid w:val="017442FA"/>
    <w:rsid w:val="017E2A82"/>
    <w:rsid w:val="01A324E9"/>
    <w:rsid w:val="01CD7B04"/>
    <w:rsid w:val="02BD3E39"/>
    <w:rsid w:val="02C24BF1"/>
    <w:rsid w:val="02EF5869"/>
    <w:rsid w:val="033D590D"/>
    <w:rsid w:val="03674364"/>
    <w:rsid w:val="03681C3C"/>
    <w:rsid w:val="03697A39"/>
    <w:rsid w:val="03B23195"/>
    <w:rsid w:val="04245B63"/>
    <w:rsid w:val="04586762"/>
    <w:rsid w:val="046917C8"/>
    <w:rsid w:val="048612D2"/>
    <w:rsid w:val="04B80EE2"/>
    <w:rsid w:val="04D024CB"/>
    <w:rsid w:val="04E37492"/>
    <w:rsid w:val="052645EB"/>
    <w:rsid w:val="053F36C3"/>
    <w:rsid w:val="05502988"/>
    <w:rsid w:val="059967DB"/>
    <w:rsid w:val="060D2EDE"/>
    <w:rsid w:val="06107BD8"/>
    <w:rsid w:val="062570FE"/>
    <w:rsid w:val="063E0174"/>
    <w:rsid w:val="0667163D"/>
    <w:rsid w:val="06882DF6"/>
    <w:rsid w:val="06B34F7C"/>
    <w:rsid w:val="0701218C"/>
    <w:rsid w:val="07442078"/>
    <w:rsid w:val="079725D9"/>
    <w:rsid w:val="07FE66CB"/>
    <w:rsid w:val="08635D8B"/>
    <w:rsid w:val="087D5842"/>
    <w:rsid w:val="0898078B"/>
    <w:rsid w:val="08B651F8"/>
    <w:rsid w:val="08C53395"/>
    <w:rsid w:val="08DF2DE9"/>
    <w:rsid w:val="09016473"/>
    <w:rsid w:val="09023F99"/>
    <w:rsid w:val="09141E30"/>
    <w:rsid w:val="09A6701A"/>
    <w:rsid w:val="09D25084"/>
    <w:rsid w:val="09E87633"/>
    <w:rsid w:val="0A6767AA"/>
    <w:rsid w:val="0A825391"/>
    <w:rsid w:val="0ABE6B52"/>
    <w:rsid w:val="0ADA4C54"/>
    <w:rsid w:val="0ADF454E"/>
    <w:rsid w:val="0AF000D8"/>
    <w:rsid w:val="0AF36E75"/>
    <w:rsid w:val="0B212DFC"/>
    <w:rsid w:val="0B8F0EA7"/>
    <w:rsid w:val="0BA21BB0"/>
    <w:rsid w:val="0BF26547"/>
    <w:rsid w:val="0C2F32F7"/>
    <w:rsid w:val="0C853931"/>
    <w:rsid w:val="0CB10376"/>
    <w:rsid w:val="0CBA46B8"/>
    <w:rsid w:val="0CCD37C8"/>
    <w:rsid w:val="0CD827D5"/>
    <w:rsid w:val="0CF274A2"/>
    <w:rsid w:val="0D0745C7"/>
    <w:rsid w:val="0D892EDB"/>
    <w:rsid w:val="0DD00B0A"/>
    <w:rsid w:val="0DD87D71"/>
    <w:rsid w:val="0E06452B"/>
    <w:rsid w:val="0E925DBF"/>
    <w:rsid w:val="0E985CED"/>
    <w:rsid w:val="0ED16B61"/>
    <w:rsid w:val="0F242EBB"/>
    <w:rsid w:val="0F281AD7"/>
    <w:rsid w:val="0F3E01A5"/>
    <w:rsid w:val="0F7151EB"/>
    <w:rsid w:val="0F783207"/>
    <w:rsid w:val="0FB81679"/>
    <w:rsid w:val="0FFA1305"/>
    <w:rsid w:val="1025513D"/>
    <w:rsid w:val="102852E9"/>
    <w:rsid w:val="106B6100"/>
    <w:rsid w:val="107F4121"/>
    <w:rsid w:val="10A5627E"/>
    <w:rsid w:val="10C21FCB"/>
    <w:rsid w:val="11423ACC"/>
    <w:rsid w:val="11467595"/>
    <w:rsid w:val="11553800"/>
    <w:rsid w:val="11790A91"/>
    <w:rsid w:val="11A42091"/>
    <w:rsid w:val="11AE548E"/>
    <w:rsid w:val="11F60F8C"/>
    <w:rsid w:val="12106436"/>
    <w:rsid w:val="12176D07"/>
    <w:rsid w:val="12712AEE"/>
    <w:rsid w:val="12F67DDA"/>
    <w:rsid w:val="13051255"/>
    <w:rsid w:val="130D010A"/>
    <w:rsid w:val="13901E58"/>
    <w:rsid w:val="13A570AB"/>
    <w:rsid w:val="13BD245A"/>
    <w:rsid w:val="13E81DF5"/>
    <w:rsid w:val="140275A9"/>
    <w:rsid w:val="140C5367"/>
    <w:rsid w:val="141009EC"/>
    <w:rsid w:val="14273849"/>
    <w:rsid w:val="143A761E"/>
    <w:rsid w:val="1528513C"/>
    <w:rsid w:val="15415E49"/>
    <w:rsid w:val="15AC7766"/>
    <w:rsid w:val="15EF1E88"/>
    <w:rsid w:val="15EF58A5"/>
    <w:rsid w:val="16492046"/>
    <w:rsid w:val="16575312"/>
    <w:rsid w:val="16A2011E"/>
    <w:rsid w:val="16C845C7"/>
    <w:rsid w:val="16C84A74"/>
    <w:rsid w:val="16CD1853"/>
    <w:rsid w:val="16E96798"/>
    <w:rsid w:val="170513F4"/>
    <w:rsid w:val="173C4B1A"/>
    <w:rsid w:val="173D5243"/>
    <w:rsid w:val="1759391E"/>
    <w:rsid w:val="17612814"/>
    <w:rsid w:val="1771160D"/>
    <w:rsid w:val="179E47DA"/>
    <w:rsid w:val="17CC0594"/>
    <w:rsid w:val="18462685"/>
    <w:rsid w:val="1869193F"/>
    <w:rsid w:val="187D188E"/>
    <w:rsid w:val="1898607A"/>
    <w:rsid w:val="189F1E2A"/>
    <w:rsid w:val="18BA4890"/>
    <w:rsid w:val="18E13DA2"/>
    <w:rsid w:val="19005238"/>
    <w:rsid w:val="195A1F6E"/>
    <w:rsid w:val="198F7977"/>
    <w:rsid w:val="19A60971"/>
    <w:rsid w:val="19AB17F4"/>
    <w:rsid w:val="19FB6F0E"/>
    <w:rsid w:val="1A1324AA"/>
    <w:rsid w:val="1A1A3C2D"/>
    <w:rsid w:val="1A55661F"/>
    <w:rsid w:val="1A5B75B0"/>
    <w:rsid w:val="1A89451A"/>
    <w:rsid w:val="1A8E4286"/>
    <w:rsid w:val="1AEB1A49"/>
    <w:rsid w:val="1AF26175"/>
    <w:rsid w:val="1B427E74"/>
    <w:rsid w:val="1B49571E"/>
    <w:rsid w:val="1B5E59A7"/>
    <w:rsid w:val="1B60680C"/>
    <w:rsid w:val="1B943177"/>
    <w:rsid w:val="1BCA2C1F"/>
    <w:rsid w:val="1BD96DDB"/>
    <w:rsid w:val="1C1C747C"/>
    <w:rsid w:val="1CDC1BD7"/>
    <w:rsid w:val="1CE41E18"/>
    <w:rsid w:val="1D5A219E"/>
    <w:rsid w:val="1D8E3BF5"/>
    <w:rsid w:val="1D9A07EC"/>
    <w:rsid w:val="1DC52889"/>
    <w:rsid w:val="1DE026A3"/>
    <w:rsid w:val="1E4100AD"/>
    <w:rsid w:val="1E4476CD"/>
    <w:rsid w:val="1E6D20BF"/>
    <w:rsid w:val="1EB94D02"/>
    <w:rsid w:val="1EEC1102"/>
    <w:rsid w:val="1EF7760A"/>
    <w:rsid w:val="1EFC42AC"/>
    <w:rsid w:val="1F2122F2"/>
    <w:rsid w:val="1F5A0233"/>
    <w:rsid w:val="1FE741BD"/>
    <w:rsid w:val="1FE9785E"/>
    <w:rsid w:val="200B777F"/>
    <w:rsid w:val="200C59D1"/>
    <w:rsid w:val="200F2CF6"/>
    <w:rsid w:val="20323D20"/>
    <w:rsid w:val="20520416"/>
    <w:rsid w:val="206872DD"/>
    <w:rsid w:val="209003D6"/>
    <w:rsid w:val="20B07712"/>
    <w:rsid w:val="20D3029D"/>
    <w:rsid w:val="20D53C01"/>
    <w:rsid w:val="210C37AF"/>
    <w:rsid w:val="211A72A7"/>
    <w:rsid w:val="212A087F"/>
    <w:rsid w:val="212C3440"/>
    <w:rsid w:val="2165534F"/>
    <w:rsid w:val="21843C8D"/>
    <w:rsid w:val="21863561"/>
    <w:rsid w:val="218D0B38"/>
    <w:rsid w:val="21974C34"/>
    <w:rsid w:val="21C52DB7"/>
    <w:rsid w:val="21DF0CC5"/>
    <w:rsid w:val="220005DA"/>
    <w:rsid w:val="222E21F9"/>
    <w:rsid w:val="228133C5"/>
    <w:rsid w:val="22866A2A"/>
    <w:rsid w:val="22943A5C"/>
    <w:rsid w:val="22A77C33"/>
    <w:rsid w:val="22D62CF5"/>
    <w:rsid w:val="2300006B"/>
    <w:rsid w:val="233E22DE"/>
    <w:rsid w:val="235A4CA6"/>
    <w:rsid w:val="2369313B"/>
    <w:rsid w:val="2377085B"/>
    <w:rsid w:val="243A0633"/>
    <w:rsid w:val="24422D44"/>
    <w:rsid w:val="24460E3D"/>
    <w:rsid w:val="24495E31"/>
    <w:rsid w:val="244D1477"/>
    <w:rsid w:val="24577437"/>
    <w:rsid w:val="24C423ED"/>
    <w:rsid w:val="24E317CD"/>
    <w:rsid w:val="25010879"/>
    <w:rsid w:val="2568522D"/>
    <w:rsid w:val="25A12A6D"/>
    <w:rsid w:val="25AA41E7"/>
    <w:rsid w:val="25B13A78"/>
    <w:rsid w:val="25C24D84"/>
    <w:rsid w:val="25C96113"/>
    <w:rsid w:val="25F426B5"/>
    <w:rsid w:val="266D18EE"/>
    <w:rsid w:val="26793695"/>
    <w:rsid w:val="26FD14F9"/>
    <w:rsid w:val="27041AAC"/>
    <w:rsid w:val="27062FF4"/>
    <w:rsid w:val="27932534"/>
    <w:rsid w:val="27FA7396"/>
    <w:rsid w:val="28163807"/>
    <w:rsid w:val="282433A0"/>
    <w:rsid w:val="28697739"/>
    <w:rsid w:val="28737AB1"/>
    <w:rsid w:val="28801FE8"/>
    <w:rsid w:val="288E4F71"/>
    <w:rsid w:val="28956780"/>
    <w:rsid w:val="28C60F7F"/>
    <w:rsid w:val="28EC1992"/>
    <w:rsid w:val="28FB7C0D"/>
    <w:rsid w:val="29114058"/>
    <w:rsid w:val="29194E41"/>
    <w:rsid w:val="29283150"/>
    <w:rsid w:val="29575504"/>
    <w:rsid w:val="29CE3EAA"/>
    <w:rsid w:val="29EC0622"/>
    <w:rsid w:val="2A0262BB"/>
    <w:rsid w:val="2A1C3834"/>
    <w:rsid w:val="2A78545A"/>
    <w:rsid w:val="2ACC6776"/>
    <w:rsid w:val="2AD74FD9"/>
    <w:rsid w:val="2B2B6F28"/>
    <w:rsid w:val="2B367AC2"/>
    <w:rsid w:val="2B6D70DD"/>
    <w:rsid w:val="2B7E34FB"/>
    <w:rsid w:val="2BB62C95"/>
    <w:rsid w:val="2BF612C8"/>
    <w:rsid w:val="2CEB696E"/>
    <w:rsid w:val="2CEF252A"/>
    <w:rsid w:val="2D172C86"/>
    <w:rsid w:val="2D270750"/>
    <w:rsid w:val="2D4D4A2B"/>
    <w:rsid w:val="2D5E1836"/>
    <w:rsid w:val="2D8B273C"/>
    <w:rsid w:val="2DD6555A"/>
    <w:rsid w:val="2DE03FF9"/>
    <w:rsid w:val="2DF40E97"/>
    <w:rsid w:val="2E3A0273"/>
    <w:rsid w:val="2E417849"/>
    <w:rsid w:val="2E7B4D91"/>
    <w:rsid w:val="2E8220A5"/>
    <w:rsid w:val="2EA32742"/>
    <w:rsid w:val="2EB10320"/>
    <w:rsid w:val="2ED753FC"/>
    <w:rsid w:val="2EDE6500"/>
    <w:rsid w:val="2EE713B8"/>
    <w:rsid w:val="2F642A08"/>
    <w:rsid w:val="2FAB0637"/>
    <w:rsid w:val="2FDD2160"/>
    <w:rsid w:val="304E7940"/>
    <w:rsid w:val="30580B30"/>
    <w:rsid w:val="311D51E8"/>
    <w:rsid w:val="316513E5"/>
    <w:rsid w:val="31AB491E"/>
    <w:rsid w:val="31AC13C4"/>
    <w:rsid w:val="31D9592F"/>
    <w:rsid w:val="31EC43A6"/>
    <w:rsid w:val="323B3EF4"/>
    <w:rsid w:val="326052F8"/>
    <w:rsid w:val="32615A8C"/>
    <w:rsid w:val="32835D14"/>
    <w:rsid w:val="328C4BE8"/>
    <w:rsid w:val="328E671A"/>
    <w:rsid w:val="32A23F73"/>
    <w:rsid w:val="32A8185A"/>
    <w:rsid w:val="32BA498D"/>
    <w:rsid w:val="33600BCE"/>
    <w:rsid w:val="33641229"/>
    <w:rsid w:val="33743CE1"/>
    <w:rsid w:val="33835B53"/>
    <w:rsid w:val="338C31D7"/>
    <w:rsid w:val="339A4C4A"/>
    <w:rsid w:val="33A53642"/>
    <w:rsid w:val="33AF4B9A"/>
    <w:rsid w:val="33C4507C"/>
    <w:rsid w:val="34437DAE"/>
    <w:rsid w:val="34517B61"/>
    <w:rsid w:val="3482405C"/>
    <w:rsid w:val="34D87F58"/>
    <w:rsid w:val="34DC7BD4"/>
    <w:rsid w:val="34EC28B8"/>
    <w:rsid w:val="354E2FF6"/>
    <w:rsid w:val="355968A6"/>
    <w:rsid w:val="356C4476"/>
    <w:rsid w:val="3588095A"/>
    <w:rsid w:val="3594108B"/>
    <w:rsid w:val="35A33091"/>
    <w:rsid w:val="35AD6EB7"/>
    <w:rsid w:val="35D501BC"/>
    <w:rsid w:val="35FC0887"/>
    <w:rsid w:val="36592B9B"/>
    <w:rsid w:val="369246C4"/>
    <w:rsid w:val="369E4A52"/>
    <w:rsid w:val="36B275AD"/>
    <w:rsid w:val="36E27BB1"/>
    <w:rsid w:val="373830F8"/>
    <w:rsid w:val="37405B09"/>
    <w:rsid w:val="374D4017"/>
    <w:rsid w:val="377E7550"/>
    <w:rsid w:val="37847C99"/>
    <w:rsid w:val="37A34A15"/>
    <w:rsid w:val="37A63FCA"/>
    <w:rsid w:val="37EC5685"/>
    <w:rsid w:val="3801173C"/>
    <w:rsid w:val="381E0173"/>
    <w:rsid w:val="38577975"/>
    <w:rsid w:val="38D02200"/>
    <w:rsid w:val="38E65B17"/>
    <w:rsid w:val="392A081F"/>
    <w:rsid w:val="39B66533"/>
    <w:rsid w:val="3A036E88"/>
    <w:rsid w:val="3A092B2A"/>
    <w:rsid w:val="3A12763C"/>
    <w:rsid w:val="3A3E0A25"/>
    <w:rsid w:val="3A647D60"/>
    <w:rsid w:val="3AE07C06"/>
    <w:rsid w:val="3AE752CB"/>
    <w:rsid w:val="3B331C0C"/>
    <w:rsid w:val="3B525BAA"/>
    <w:rsid w:val="3BB003BC"/>
    <w:rsid w:val="3BB954CF"/>
    <w:rsid w:val="3BDC1195"/>
    <w:rsid w:val="3C157564"/>
    <w:rsid w:val="3C277297"/>
    <w:rsid w:val="3C756255"/>
    <w:rsid w:val="3C7615CA"/>
    <w:rsid w:val="3CB16B8D"/>
    <w:rsid w:val="3CB80EBB"/>
    <w:rsid w:val="3CEC63B4"/>
    <w:rsid w:val="3D181988"/>
    <w:rsid w:val="3D6274C5"/>
    <w:rsid w:val="3D686F1F"/>
    <w:rsid w:val="3D70188D"/>
    <w:rsid w:val="3D98319B"/>
    <w:rsid w:val="3DF338D5"/>
    <w:rsid w:val="3E102693"/>
    <w:rsid w:val="3E1D6BA4"/>
    <w:rsid w:val="3E3363C7"/>
    <w:rsid w:val="3E560876"/>
    <w:rsid w:val="3E587BDC"/>
    <w:rsid w:val="3E622809"/>
    <w:rsid w:val="3E6F6146"/>
    <w:rsid w:val="3E9F6D60"/>
    <w:rsid w:val="3EFE07D5"/>
    <w:rsid w:val="3F1B4636"/>
    <w:rsid w:val="3F3917BB"/>
    <w:rsid w:val="3F4526D8"/>
    <w:rsid w:val="3F6820A1"/>
    <w:rsid w:val="40155D85"/>
    <w:rsid w:val="402635DB"/>
    <w:rsid w:val="404D5D77"/>
    <w:rsid w:val="40610FCA"/>
    <w:rsid w:val="40DC4AF4"/>
    <w:rsid w:val="41A424B8"/>
    <w:rsid w:val="41BC6E35"/>
    <w:rsid w:val="41EC520B"/>
    <w:rsid w:val="41EC6E66"/>
    <w:rsid w:val="41FF0A9A"/>
    <w:rsid w:val="42091D7F"/>
    <w:rsid w:val="42344FB5"/>
    <w:rsid w:val="42491607"/>
    <w:rsid w:val="427F2CBC"/>
    <w:rsid w:val="42823081"/>
    <w:rsid w:val="42A95270"/>
    <w:rsid w:val="42E559AE"/>
    <w:rsid w:val="43410568"/>
    <w:rsid w:val="434D3A87"/>
    <w:rsid w:val="43A237A2"/>
    <w:rsid w:val="43BD71DA"/>
    <w:rsid w:val="43E275B7"/>
    <w:rsid w:val="43E95AE5"/>
    <w:rsid w:val="43FD177C"/>
    <w:rsid w:val="441161A3"/>
    <w:rsid w:val="441B29C2"/>
    <w:rsid w:val="444A6219"/>
    <w:rsid w:val="4454704D"/>
    <w:rsid w:val="44561F95"/>
    <w:rsid w:val="445A6810"/>
    <w:rsid w:val="44921A9E"/>
    <w:rsid w:val="44AF100F"/>
    <w:rsid w:val="44C1472D"/>
    <w:rsid w:val="44CB1108"/>
    <w:rsid w:val="44DE52DF"/>
    <w:rsid w:val="44E60157"/>
    <w:rsid w:val="451D34C4"/>
    <w:rsid w:val="452D6611"/>
    <w:rsid w:val="454253D3"/>
    <w:rsid w:val="457C2402"/>
    <w:rsid w:val="457E0AB0"/>
    <w:rsid w:val="45FC3543"/>
    <w:rsid w:val="46195C5A"/>
    <w:rsid w:val="4661560C"/>
    <w:rsid w:val="468A6DA0"/>
    <w:rsid w:val="46A46666"/>
    <w:rsid w:val="46A8443E"/>
    <w:rsid w:val="46B27956"/>
    <w:rsid w:val="46C21C73"/>
    <w:rsid w:val="46C93D6D"/>
    <w:rsid w:val="46DA1AD6"/>
    <w:rsid w:val="46F9660D"/>
    <w:rsid w:val="470A150F"/>
    <w:rsid w:val="476D64A6"/>
    <w:rsid w:val="47F168D3"/>
    <w:rsid w:val="48836E15"/>
    <w:rsid w:val="48931F3C"/>
    <w:rsid w:val="48FB7F1E"/>
    <w:rsid w:val="490525B3"/>
    <w:rsid w:val="490F748B"/>
    <w:rsid w:val="49441489"/>
    <w:rsid w:val="49505F56"/>
    <w:rsid w:val="49C5081B"/>
    <w:rsid w:val="49C820BA"/>
    <w:rsid w:val="49D6793A"/>
    <w:rsid w:val="49DC505F"/>
    <w:rsid w:val="49DF11B1"/>
    <w:rsid w:val="4A655B5A"/>
    <w:rsid w:val="4A7D6761"/>
    <w:rsid w:val="4AA40A81"/>
    <w:rsid w:val="4AA5422C"/>
    <w:rsid w:val="4AD1699E"/>
    <w:rsid w:val="4AE72A13"/>
    <w:rsid w:val="4AE94A2A"/>
    <w:rsid w:val="4B9354E6"/>
    <w:rsid w:val="4BB816B0"/>
    <w:rsid w:val="4C107007"/>
    <w:rsid w:val="4C213D03"/>
    <w:rsid w:val="4C3C0FA9"/>
    <w:rsid w:val="4C3F57A0"/>
    <w:rsid w:val="4C465518"/>
    <w:rsid w:val="4C484DD8"/>
    <w:rsid w:val="4C714D34"/>
    <w:rsid w:val="4C985E1C"/>
    <w:rsid w:val="4CE7362C"/>
    <w:rsid w:val="4CEC2563"/>
    <w:rsid w:val="4CF86A13"/>
    <w:rsid w:val="4DA475BC"/>
    <w:rsid w:val="4DDD59C1"/>
    <w:rsid w:val="4DF20685"/>
    <w:rsid w:val="4E0062C6"/>
    <w:rsid w:val="4E07022B"/>
    <w:rsid w:val="4E0B4C6B"/>
    <w:rsid w:val="4E26690F"/>
    <w:rsid w:val="4E87050B"/>
    <w:rsid w:val="4E8E7B60"/>
    <w:rsid w:val="4EA03605"/>
    <w:rsid w:val="4EC47EFE"/>
    <w:rsid w:val="4ECF3EEA"/>
    <w:rsid w:val="4ED456F3"/>
    <w:rsid w:val="4F444C48"/>
    <w:rsid w:val="4F636FF5"/>
    <w:rsid w:val="4F820463"/>
    <w:rsid w:val="4FB5423E"/>
    <w:rsid w:val="4FC7696F"/>
    <w:rsid w:val="4FDC68BF"/>
    <w:rsid w:val="500B6A4B"/>
    <w:rsid w:val="500D4CCA"/>
    <w:rsid w:val="50182EB1"/>
    <w:rsid w:val="503E1327"/>
    <w:rsid w:val="50646C06"/>
    <w:rsid w:val="50CA6717"/>
    <w:rsid w:val="512E47BF"/>
    <w:rsid w:val="51330760"/>
    <w:rsid w:val="51331031"/>
    <w:rsid w:val="513D7DA7"/>
    <w:rsid w:val="518A32C1"/>
    <w:rsid w:val="51D214A7"/>
    <w:rsid w:val="51FD3754"/>
    <w:rsid w:val="520C1F8E"/>
    <w:rsid w:val="522709F0"/>
    <w:rsid w:val="52320A18"/>
    <w:rsid w:val="524C5212"/>
    <w:rsid w:val="524E5126"/>
    <w:rsid w:val="525D2571"/>
    <w:rsid w:val="525F10E1"/>
    <w:rsid w:val="527F0C5A"/>
    <w:rsid w:val="530A54F1"/>
    <w:rsid w:val="53157645"/>
    <w:rsid w:val="53163E96"/>
    <w:rsid w:val="53481C59"/>
    <w:rsid w:val="53556037"/>
    <w:rsid w:val="539E7A17"/>
    <w:rsid w:val="53BD113E"/>
    <w:rsid w:val="53C738FE"/>
    <w:rsid w:val="53FA37B7"/>
    <w:rsid w:val="54014B46"/>
    <w:rsid w:val="54216CDC"/>
    <w:rsid w:val="542801C6"/>
    <w:rsid w:val="545A24A8"/>
    <w:rsid w:val="54804B1E"/>
    <w:rsid w:val="54AC501F"/>
    <w:rsid w:val="54BA6CDF"/>
    <w:rsid w:val="552503C0"/>
    <w:rsid w:val="552643D9"/>
    <w:rsid w:val="554B6BDD"/>
    <w:rsid w:val="55755617"/>
    <w:rsid w:val="5588094F"/>
    <w:rsid w:val="55CE1AA9"/>
    <w:rsid w:val="56486A5C"/>
    <w:rsid w:val="566E5A98"/>
    <w:rsid w:val="5703302D"/>
    <w:rsid w:val="5713032C"/>
    <w:rsid w:val="572D5C52"/>
    <w:rsid w:val="57574A7D"/>
    <w:rsid w:val="576F6D04"/>
    <w:rsid w:val="5773463A"/>
    <w:rsid w:val="57770C7B"/>
    <w:rsid w:val="57C02FA9"/>
    <w:rsid w:val="57C32112"/>
    <w:rsid w:val="583152CE"/>
    <w:rsid w:val="585039A6"/>
    <w:rsid w:val="585B2120"/>
    <w:rsid w:val="58750E05"/>
    <w:rsid w:val="5880211C"/>
    <w:rsid w:val="58A261CC"/>
    <w:rsid w:val="58E959B7"/>
    <w:rsid w:val="590D5D3B"/>
    <w:rsid w:val="591D7B02"/>
    <w:rsid w:val="593C4897"/>
    <w:rsid w:val="595C45CC"/>
    <w:rsid w:val="59CA7788"/>
    <w:rsid w:val="59EF1AD9"/>
    <w:rsid w:val="59F472ED"/>
    <w:rsid w:val="5A0164A5"/>
    <w:rsid w:val="5A184DB3"/>
    <w:rsid w:val="5A40750D"/>
    <w:rsid w:val="5A4218DC"/>
    <w:rsid w:val="5A470077"/>
    <w:rsid w:val="5A5102C3"/>
    <w:rsid w:val="5ABC37E7"/>
    <w:rsid w:val="5ACE0752"/>
    <w:rsid w:val="5AEF3AB2"/>
    <w:rsid w:val="5B294067"/>
    <w:rsid w:val="5B48305A"/>
    <w:rsid w:val="5B8C3C99"/>
    <w:rsid w:val="5BEF5C5C"/>
    <w:rsid w:val="5C374EE9"/>
    <w:rsid w:val="5C433822"/>
    <w:rsid w:val="5C50286B"/>
    <w:rsid w:val="5C52505C"/>
    <w:rsid w:val="5C553C81"/>
    <w:rsid w:val="5C7C1E93"/>
    <w:rsid w:val="5C7F0CFE"/>
    <w:rsid w:val="5CC52EE0"/>
    <w:rsid w:val="5D3F1174"/>
    <w:rsid w:val="5D415FB3"/>
    <w:rsid w:val="5D455023"/>
    <w:rsid w:val="5D6A7C1B"/>
    <w:rsid w:val="5DA00B45"/>
    <w:rsid w:val="5DC41746"/>
    <w:rsid w:val="5DD4352C"/>
    <w:rsid w:val="5DD60DF1"/>
    <w:rsid w:val="5DF625DA"/>
    <w:rsid w:val="5DFB0858"/>
    <w:rsid w:val="5E35116C"/>
    <w:rsid w:val="5E5503AD"/>
    <w:rsid w:val="5E5814CF"/>
    <w:rsid w:val="5E834DD9"/>
    <w:rsid w:val="5EC016C2"/>
    <w:rsid w:val="5EE44E48"/>
    <w:rsid w:val="5EF55CD1"/>
    <w:rsid w:val="5F2136D8"/>
    <w:rsid w:val="5F3F7AD2"/>
    <w:rsid w:val="5FAC2EFD"/>
    <w:rsid w:val="5FF05A6E"/>
    <w:rsid w:val="602045A6"/>
    <w:rsid w:val="602A71D2"/>
    <w:rsid w:val="603242D9"/>
    <w:rsid w:val="604F6155"/>
    <w:rsid w:val="614E6EF1"/>
    <w:rsid w:val="616C7377"/>
    <w:rsid w:val="618B3CA1"/>
    <w:rsid w:val="61A318C3"/>
    <w:rsid w:val="621771F3"/>
    <w:rsid w:val="621E0127"/>
    <w:rsid w:val="62830E1C"/>
    <w:rsid w:val="62BE505A"/>
    <w:rsid w:val="632E258D"/>
    <w:rsid w:val="636221CF"/>
    <w:rsid w:val="639A0107"/>
    <w:rsid w:val="63CD48DA"/>
    <w:rsid w:val="63D972F1"/>
    <w:rsid w:val="64025D70"/>
    <w:rsid w:val="64122457"/>
    <w:rsid w:val="6445282D"/>
    <w:rsid w:val="6448448B"/>
    <w:rsid w:val="64612C5A"/>
    <w:rsid w:val="64BA3DBF"/>
    <w:rsid w:val="64CA0F84"/>
    <w:rsid w:val="652811A1"/>
    <w:rsid w:val="652A0B14"/>
    <w:rsid w:val="65371855"/>
    <w:rsid w:val="653B1127"/>
    <w:rsid w:val="656C203B"/>
    <w:rsid w:val="65CF7412"/>
    <w:rsid w:val="65DD16A8"/>
    <w:rsid w:val="65E645E5"/>
    <w:rsid w:val="65E64B6A"/>
    <w:rsid w:val="66042274"/>
    <w:rsid w:val="669B721B"/>
    <w:rsid w:val="66F119BD"/>
    <w:rsid w:val="66F91A66"/>
    <w:rsid w:val="670C7632"/>
    <w:rsid w:val="68067136"/>
    <w:rsid w:val="682C160E"/>
    <w:rsid w:val="684B1FCC"/>
    <w:rsid w:val="684F3C7A"/>
    <w:rsid w:val="6859410E"/>
    <w:rsid w:val="687F5BE1"/>
    <w:rsid w:val="6883443E"/>
    <w:rsid w:val="68996474"/>
    <w:rsid w:val="68A85138"/>
    <w:rsid w:val="69053783"/>
    <w:rsid w:val="693D6BEE"/>
    <w:rsid w:val="699B5960"/>
    <w:rsid w:val="69D8171B"/>
    <w:rsid w:val="6A143694"/>
    <w:rsid w:val="6A5B4E86"/>
    <w:rsid w:val="6A601BC9"/>
    <w:rsid w:val="6A97065D"/>
    <w:rsid w:val="6AAE7844"/>
    <w:rsid w:val="6AD9782B"/>
    <w:rsid w:val="6AE24A5A"/>
    <w:rsid w:val="6B2A102D"/>
    <w:rsid w:val="6B3F2D54"/>
    <w:rsid w:val="6B763095"/>
    <w:rsid w:val="6B7C465A"/>
    <w:rsid w:val="6BA22313"/>
    <w:rsid w:val="6BA435DB"/>
    <w:rsid w:val="6BAE0F37"/>
    <w:rsid w:val="6BB43DF4"/>
    <w:rsid w:val="6C0B610A"/>
    <w:rsid w:val="6C1C0B14"/>
    <w:rsid w:val="6C2C6080"/>
    <w:rsid w:val="6CCB3AEB"/>
    <w:rsid w:val="6CF13171"/>
    <w:rsid w:val="6CF632ED"/>
    <w:rsid w:val="6D16636B"/>
    <w:rsid w:val="6D1E1E6D"/>
    <w:rsid w:val="6D264762"/>
    <w:rsid w:val="6D5E495F"/>
    <w:rsid w:val="6D6A4B3C"/>
    <w:rsid w:val="6DA22D00"/>
    <w:rsid w:val="6DC36570"/>
    <w:rsid w:val="6DFF2794"/>
    <w:rsid w:val="6E02353D"/>
    <w:rsid w:val="6E2F4600"/>
    <w:rsid w:val="6E5D69C5"/>
    <w:rsid w:val="6E6C5502"/>
    <w:rsid w:val="6EA91C0A"/>
    <w:rsid w:val="6EBD38F1"/>
    <w:rsid w:val="6ECB6983"/>
    <w:rsid w:val="6F0A1A20"/>
    <w:rsid w:val="6FD07271"/>
    <w:rsid w:val="70770AF8"/>
    <w:rsid w:val="713E53CB"/>
    <w:rsid w:val="71554C78"/>
    <w:rsid w:val="716A6F19"/>
    <w:rsid w:val="717C3606"/>
    <w:rsid w:val="71921C48"/>
    <w:rsid w:val="71950224"/>
    <w:rsid w:val="71AE41D6"/>
    <w:rsid w:val="71C3737B"/>
    <w:rsid w:val="71CA4371"/>
    <w:rsid w:val="71CF3736"/>
    <w:rsid w:val="7258197D"/>
    <w:rsid w:val="72B379F8"/>
    <w:rsid w:val="72D019CB"/>
    <w:rsid w:val="72D80D10"/>
    <w:rsid w:val="7313332F"/>
    <w:rsid w:val="73294821"/>
    <w:rsid w:val="736507F6"/>
    <w:rsid w:val="739A6BA3"/>
    <w:rsid w:val="73E26D80"/>
    <w:rsid w:val="74035919"/>
    <w:rsid w:val="742615B0"/>
    <w:rsid w:val="74420C73"/>
    <w:rsid w:val="744E316F"/>
    <w:rsid w:val="747D391D"/>
    <w:rsid w:val="74855CEB"/>
    <w:rsid w:val="749A119E"/>
    <w:rsid w:val="74BF1FDD"/>
    <w:rsid w:val="74D34A94"/>
    <w:rsid w:val="74F811F5"/>
    <w:rsid w:val="751A73BE"/>
    <w:rsid w:val="752A3DB6"/>
    <w:rsid w:val="75306BE1"/>
    <w:rsid w:val="755464AF"/>
    <w:rsid w:val="75564B48"/>
    <w:rsid w:val="755C79D6"/>
    <w:rsid w:val="755F74C6"/>
    <w:rsid w:val="75F44EEF"/>
    <w:rsid w:val="762E2AEC"/>
    <w:rsid w:val="76320737"/>
    <w:rsid w:val="763E532E"/>
    <w:rsid w:val="7646259F"/>
    <w:rsid w:val="76A66EA1"/>
    <w:rsid w:val="76E824E1"/>
    <w:rsid w:val="76FE0619"/>
    <w:rsid w:val="771D645A"/>
    <w:rsid w:val="772159A4"/>
    <w:rsid w:val="772E53A2"/>
    <w:rsid w:val="77383B2B"/>
    <w:rsid w:val="779A48AE"/>
    <w:rsid w:val="77B91110"/>
    <w:rsid w:val="77EE068E"/>
    <w:rsid w:val="782F4F2E"/>
    <w:rsid w:val="78493FEE"/>
    <w:rsid w:val="784B4EE7"/>
    <w:rsid w:val="78560F7C"/>
    <w:rsid w:val="78650950"/>
    <w:rsid w:val="789E3E62"/>
    <w:rsid w:val="78FE0AB0"/>
    <w:rsid w:val="7945783B"/>
    <w:rsid w:val="799878B2"/>
    <w:rsid w:val="79990E5A"/>
    <w:rsid w:val="799D1096"/>
    <w:rsid w:val="799F0615"/>
    <w:rsid w:val="79BA6C6F"/>
    <w:rsid w:val="79CD6714"/>
    <w:rsid w:val="7A0F14BB"/>
    <w:rsid w:val="7A4F4AC8"/>
    <w:rsid w:val="7A8D66C6"/>
    <w:rsid w:val="7ABB0CFB"/>
    <w:rsid w:val="7ADF2D25"/>
    <w:rsid w:val="7B4D1AFE"/>
    <w:rsid w:val="7B923F17"/>
    <w:rsid w:val="7BB35E76"/>
    <w:rsid w:val="7BC63DFB"/>
    <w:rsid w:val="7C0C5586"/>
    <w:rsid w:val="7C101F89"/>
    <w:rsid w:val="7C6C2E92"/>
    <w:rsid w:val="7C7F3FAA"/>
    <w:rsid w:val="7C8A3680"/>
    <w:rsid w:val="7D647EDA"/>
    <w:rsid w:val="7D7B6815"/>
    <w:rsid w:val="7DF87E18"/>
    <w:rsid w:val="7DFF161E"/>
    <w:rsid w:val="7E3042FC"/>
    <w:rsid w:val="7E973804"/>
    <w:rsid w:val="7EA25070"/>
    <w:rsid w:val="7EED14D6"/>
    <w:rsid w:val="7FC56178"/>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sz w:val="21"/>
      <w:szCs w:val="21"/>
      <w:lang w:val="en-US" w:eastAsia="zh-CN" w:bidi="ar-SA"/>
    </w:rPr>
  </w:style>
  <w:style w:type="paragraph" w:styleId="5">
    <w:name w:val="heading 1"/>
    <w:basedOn w:val="1"/>
    <w:next w:val="1"/>
    <w:link w:val="31"/>
    <w:qFormat/>
    <w:uiPriority w:val="7"/>
    <w:pPr>
      <w:keepNext/>
      <w:keepLines/>
      <w:outlineLvl w:val="0"/>
    </w:pPr>
    <w:rPr>
      <w:b/>
      <w:sz w:val="44"/>
      <w:szCs w:val="44"/>
    </w:rPr>
  </w:style>
  <w:style w:type="paragraph" w:styleId="6">
    <w:name w:val="heading 2"/>
    <w:basedOn w:val="1"/>
    <w:next w:val="1"/>
    <w:qFormat/>
    <w:uiPriority w:val="8"/>
    <w:pPr>
      <w:keepNext/>
      <w:keepLines/>
      <w:outlineLvl w:val="1"/>
    </w:pPr>
    <w:rPr>
      <w:rFonts w:ascii="Arial" w:hAnsi="Arial" w:eastAsia="黑体"/>
      <w:b/>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0"/>
    <w:pPr>
      <w:spacing w:beforeLines="50" w:line="360" w:lineRule="auto"/>
      <w:ind w:firstLine="200" w:firstLineChars="200"/>
    </w:pPr>
    <w:rPr>
      <w:spacing w:val="2"/>
      <w:sz w:val="24"/>
    </w:rPr>
  </w:style>
  <w:style w:type="paragraph" w:styleId="7">
    <w:name w:val="Normal Indent"/>
    <w:basedOn w:val="1"/>
    <w:unhideWhenUsed/>
    <w:qFormat/>
    <w:uiPriority w:val="0"/>
    <w:pPr>
      <w:ind w:firstLine="420"/>
    </w:pPr>
  </w:style>
  <w:style w:type="paragraph" w:styleId="8">
    <w:name w:val="annotation text"/>
    <w:basedOn w:val="1"/>
    <w:unhideWhenUsed/>
    <w:qFormat/>
    <w:uiPriority w:val="99"/>
    <w:pPr>
      <w:jc w:val="left"/>
    </w:pPr>
    <w:rPr>
      <w:rFonts w:ascii="Calibri" w:hAnsi="Calibri"/>
    </w:rPr>
  </w:style>
  <w:style w:type="paragraph" w:styleId="9">
    <w:name w:val="Body Text Indent"/>
    <w:basedOn w:val="1"/>
    <w:unhideWhenUsed/>
    <w:qFormat/>
    <w:uiPriority w:val="0"/>
    <w:pPr>
      <w:ind w:firstLine="630"/>
    </w:pPr>
    <w:rPr>
      <w:sz w:val="32"/>
      <w:szCs w:val="32"/>
    </w:rPr>
  </w:style>
  <w:style w:type="paragraph" w:styleId="10">
    <w:name w:val="Plain Text"/>
    <w:basedOn w:val="1"/>
    <w:qFormat/>
    <w:uiPriority w:val="99"/>
    <w:pPr>
      <w:autoSpaceDE w:val="0"/>
      <w:autoSpaceDN w:val="0"/>
      <w:adjustRightInd w:val="0"/>
    </w:pPr>
    <w:rPr>
      <w:rFonts w:ascii="宋体" w:hAnsi="Tms Rmn" w:cs="宋体"/>
    </w:rPr>
  </w:style>
  <w:style w:type="paragraph" w:styleId="11">
    <w:name w:val="Body Text Indent 2"/>
    <w:basedOn w:val="1"/>
    <w:unhideWhenUsed/>
    <w:qFormat/>
    <w:uiPriority w:val="0"/>
    <w:pPr>
      <w:ind w:left="420"/>
    </w:pPr>
  </w:style>
  <w:style w:type="paragraph" w:styleId="12">
    <w:name w:val="footer"/>
    <w:basedOn w:val="1"/>
    <w:qFormat/>
    <w:uiPriority w:val="0"/>
    <w:pPr>
      <w:tabs>
        <w:tab w:val="center" w:pos="4153"/>
        <w:tab w:val="right" w:pos="8306"/>
      </w:tabs>
    </w:pPr>
    <w:rPr>
      <w:sz w:val="18"/>
      <w:szCs w:val="18"/>
    </w:rPr>
  </w:style>
  <w:style w:type="paragraph" w:styleId="13">
    <w:name w:val="header"/>
    <w:basedOn w:val="1"/>
    <w:qFormat/>
    <w:uiPriority w:val="0"/>
    <w:pPr>
      <w:tabs>
        <w:tab w:val="center" w:pos="4153"/>
        <w:tab w:val="right" w:pos="8306"/>
      </w:tabs>
    </w:pPr>
    <w:rPr>
      <w:sz w:val="18"/>
      <w:szCs w:val="18"/>
    </w:rPr>
  </w:style>
  <w:style w:type="paragraph" w:styleId="14">
    <w:name w:val="toc 1"/>
    <w:basedOn w:val="1"/>
    <w:next w:val="1"/>
    <w:unhideWhenUsed/>
    <w:qFormat/>
    <w:uiPriority w:val="28"/>
    <w:rPr>
      <w:rFonts w:ascii="Calibri" w:hAnsi="Calibri" w:eastAsia="Calibri"/>
      <w:sz w:val="22"/>
      <w:szCs w:val="22"/>
    </w:rPr>
  </w:style>
  <w:style w:type="paragraph" w:styleId="15">
    <w:name w:val="toc 2"/>
    <w:basedOn w:val="1"/>
    <w:next w:val="1"/>
    <w:unhideWhenUsed/>
    <w:qFormat/>
    <w:uiPriority w:val="29"/>
    <w:pPr>
      <w:ind w:left="220"/>
    </w:pPr>
    <w:rPr>
      <w:rFonts w:ascii="Calibri" w:hAnsi="Calibri" w:eastAsia="Calibri"/>
      <w:sz w:val="22"/>
      <w:szCs w:val="22"/>
    </w:rPr>
  </w:style>
  <w:style w:type="paragraph" w:styleId="16">
    <w:name w:val="HTML Preformatted"/>
    <w:basedOn w:val="1"/>
    <w:unhideWhenUsed/>
    <w:qFormat/>
    <w:uiPriority w:val="0"/>
    <w:rPr>
      <w:rFonts w:ascii="Courier New" w:hAnsi="Courier New" w:eastAsia="Courier New"/>
      <w:sz w:val="20"/>
      <w:szCs w:val="20"/>
    </w:rPr>
  </w:style>
  <w:style w:type="paragraph" w:styleId="17">
    <w:name w:val="Title"/>
    <w:basedOn w:val="1"/>
    <w:next w:val="1"/>
    <w:link w:val="32"/>
    <w:qFormat/>
    <w:uiPriority w:val="6"/>
    <w:pPr>
      <w:jc w:val="center"/>
    </w:pPr>
    <w:rPr>
      <w:rFonts w:eastAsia="Times New Roman"/>
      <w:b/>
      <w:sz w:val="32"/>
      <w:szCs w:val="32"/>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unhideWhenUsed/>
    <w:qFormat/>
    <w:uiPriority w:val="0"/>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6">
    <w:name w:val="TOC 标题11"/>
    <w:basedOn w:val="5"/>
    <w:next w:val="1"/>
    <w:qFormat/>
    <w:uiPriority w:val="0"/>
    <w:rPr>
      <w:rFonts w:ascii="Calibri Light" w:hAnsi="Calibri Light" w:eastAsia="Calibri Light"/>
      <w:color w:val="2E74B5"/>
      <w:sz w:val="28"/>
      <w:szCs w:val="28"/>
    </w:rPr>
  </w:style>
  <w:style w:type="paragraph" w:styleId="27">
    <w:name w:val="List Paragraph"/>
    <w:basedOn w:val="1"/>
    <w:qFormat/>
    <w:uiPriority w:val="26"/>
    <w:pPr>
      <w:ind w:firstLine="420"/>
    </w:pPr>
  </w:style>
  <w:style w:type="paragraph" w:customStyle="1" w:styleId="28">
    <w:name w:val="正文首行缩进两字符"/>
    <w:basedOn w:val="1"/>
    <w:qFormat/>
    <w:uiPriority w:val="0"/>
    <w:pPr>
      <w:ind w:firstLine="200"/>
    </w:pPr>
  </w:style>
  <w:style w:type="paragraph" w:customStyle="1" w:styleId="29">
    <w:name w:val="样式"/>
    <w:qFormat/>
    <w:uiPriority w:val="0"/>
    <w:pPr>
      <w:autoSpaceDE w:val="0"/>
      <w:autoSpaceDN w:val="0"/>
    </w:pPr>
    <w:rPr>
      <w:rFonts w:ascii="宋体" w:hAnsi="宋体" w:eastAsia="宋体" w:cs="Times New Roman"/>
      <w:sz w:val="24"/>
      <w:szCs w:val="24"/>
      <w:lang w:val="en-US" w:eastAsia="zh-CN" w:bidi="ar-SA"/>
    </w:rPr>
  </w:style>
  <w:style w:type="paragraph" w:customStyle="1" w:styleId="3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31">
    <w:name w:val="标题 1 字符"/>
    <w:link w:val="5"/>
    <w:qFormat/>
    <w:uiPriority w:val="0"/>
    <w:rPr>
      <w:b/>
      <w:sz w:val="44"/>
      <w:szCs w:val="44"/>
    </w:rPr>
  </w:style>
  <w:style w:type="character" w:customStyle="1" w:styleId="32">
    <w:name w:val="标题 字符"/>
    <w:link w:val="17"/>
    <w:qFormat/>
    <w:uiPriority w:val="6"/>
    <w:rPr>
      <w:rFonts w:eastAsia="Times New Roman"/>
      <w:b/>
      <w:sz w:val="32"/>
      <w:szCs w:val="32"/>
      <w:lang w:val="en-US" w:eastAsia="zh-CN" w:bidi="ar-SA"/>
    </w:rPr>
  </w:style>
  <w:style w:type="paragraph" w:customStyle="1" w:styleId="33">
    <w:name w:val="CL正文"/>
    <w:basedOn w:val="1"/>
    <w:qFormat/>
    <w:uiPriority w:val="0"/>
    <w:pPr>
      <w:widowControl w:val="0"/>
      <w:spacing w:after="0" w:line="360" w:lineRule="auto"/>
      <w:ind w:firstLine="200" w:firstLineChars="200"/>
      <w:jc w:val="both"/>
    </w:pPr>
    <w:rPr>
      <w:rFonts w:ascii="华文中宋" w:hAnsi="Times New Roman" w:eastAsia="华文中宋"/>
      <w:kern w:val="2"/>
      <w:sz w:val="24"/>
      <w:szCs w:val="24"/>
    </w:rPr>
  </w:style>
  <w:style w:type="paragraph" w:customStyle="1" w:styleId="34">
    <w:name w:val="样式 首行缩进:  2 字符"/>
    <w:basedOn w:val="1"/>
    <w:qFormat/>
    <w:uiPriority w:val="99"/>
    <w:pPr>
      <w:spacing w:line="400" w:lineRule="exact"/>
      <w:ind w:firstLine="200" w:firstLineChars="200"/>
    </w:pPr>
    <w:rPr>
      <w:rFonts w:cs="宋体"/>
      <w:sz w:val="24"/>
    </w:rPr>
  </w:style>
  <w:style w:type="character" w:customStyle="1" w:styleId="35">
    <w:name w:val="font31"/>
    <w:basedOn w:val="20"/>
    <w:qFormat/>
    <w:uiPriority w:val="0"/>
    <w:rPr>
      <w:rFonts w:ascii="宋体" w:hAnsi="宋体" w:eastAsia="宋体" w:cs="宋体"/>
      <w:color w:val="000000"/>
      <w:sz w:val="20"/>
      <w:szCs w:val="20"/>
      <w:u w:val="none"/>
    </w:rPr>
  </w:style>
  <w:style w:type="character" w:customStyle="1" w:styleId="36">
    <w:name w:val="font51"/>
    <w:basedOn w:val="20"/>
    <w:qFormat/>
    <w:uiPriority w:val="0"/>
    <w:rPr>
      <w:rFonts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61"/>
    <customShpInfo spid="_x0000_s1026"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12136</Words>
  <Characters>12879</Characters>
  <Lines>0</Lines>
  <Paragraphs>0</Paragraphs>
  <TotalTime>243</TotalTime>
  <ScaleCrop>false</ScaleCrop>
  <LinksUpToDate>false</LinksUpToDate>
  <CharactersWithSpaces>12916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2025-01-09T08:29:00Z</dcterms:created>
  <dc:creator>Administrator</dc:creator>
  <cp:lastModifiedBy>纯属虛构</cp:lastModifiedBy>
  <cp:lastPrinted>2025-08-14T00:41:00Z</cp:lastPrinted>
  <dcterms:modified xsi:type="dcterms:W3CDTF">2025-08-15T08:24:53Z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eyJoZGlkIjoiM2M1MDUzMDM4Y2FlNDIzOTBjNTUyN2M3YTNmOGJjM2IiLCJ1c2VySWQiOiI2OTIxNjI1MzcifQ==</vt:lpwstr>
  </property>
  <property fmtid="{D5CDD505-2E9C-101B-9397-08002B2CF9AE}" pid="4" name="ICV">
    <vt:lpwstr>B96DA350C5D5482095E706CDCC87E905_13</vt:lpwstr>
  </property>
</Properties>
</file>