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0"/>
        <w:ind w:firstLine="0" w:firstLineChars="0"/>
        <w:jc w:val="left"/>
      </w:pPr>
      <w:bookmarkStart w:id="0" w:name="_Toc189260486"/>
      <w:bookmarkStart w:id="1" w:name="_Toc186125684"/>
      <w:bookmarkStart w:id="2" w:name="_Toc188584340"/>
      <w:bookmarkStart w:id="3" w:name="_Toc161728878"/>
      <w:bookmarkStart w:id="4" w:name="_Toc162932893"/>
      <w:bookmarkStart w:id="5" w:name="_Toc188863741"/>
      <w:bookmarkStart w:id="6" w:name="_Toc161728855"/>
      <w:bookmarkStart w:id="7" w:name="_Toc188864036"/>
      <w:bookmarkStart w:id="8" w:name="_Toc201977402"/>
      <w:bookmarkStart w:id="9" w:name="_Toc188865565"/>
      <w:bookmarkStart w:id="10" w:name="_Toc189219398"/>
      <w:bookmarkStart w:id="11" w:name="_Toc188352106"/>
      <w:bookmarkStart w:id="12" w:name="_Toc201977414"/>
      <w:bookmarkStart w:id="13" w:name="_Toc155256353"/>
      <w:bookmarkStart w:id="14" w:name="_Toc190494573"/>
      <w:bookmarkStart w:id="15" w:name="_Toc189238286"/>
      <w:r>
        <w:pict>
          <v:shape id="_x0000_s2050" o:spid="_x0000_s2050" o:spt="202" type="#_x0000_t202" style="position:absolute;left:0pt;margin-left:-8.75pt;margin-top:9.75pt;height:26.25pt;width:193.7pt;z-index:251662336;mso-width-relative:page;mso-height-relative:page;" coordsize="21600,21600">
            <v:path/>
            <v:fill focussize="0,0"/>
            <v:stroke joinstyle="miter"/>
            <v:imagedata o:title=""/>
            <o:lock v:ext="edit"/>
            <v:textbox>
              <w:txbxContent>
                <w:p>
                  <w:pPr>
                    <w:jc w:val="center"/>
                    <w:rPr>
                      <w:rFonts w:ascii="宋体" w:hAnsi="宋体"/>
                      <w:b/>
                      <w:sz w:val="28"/>
                    </w:rPr>
                  </w:pPr>
                  <w:r>
                    <w:rPr>
                      <w:rFonts w:hint="eastAsia" w:ascii="宋体" w:hAnsi="宋体"/>
                      <w:b/>
                      <w:sz w:val="28"/>
                    </w:rPr>
                    <w:t>水保方案（川）字</w:t>
                  </w:r>
                  <w:r>
                    <w:rPr>
                      <w:rFonts w:hint="eastAsia" w:ascii="宋体" w:hAnsi="宋体"/>
                      <w:b/>
                      <w:color w:val="auto"/>
                      <w:sz w:val="28"/>
                    </w:rPr>
                    <w:t>第</w:t>
                  </w:r>
                  <w:r>
                    <w:rPr>
                      <w:rFonts w:hint="default" w:ascii="宋体" w:hAnsi="宋体"/>
                      <w:b/>
                      <w:color w:val="auto"/>
                      <w:sz w:val="28"/>
                      <w:lang w:val="en-US"/>
                    </w:rPr>
                    <w:t>0047</w:t>
                  </w:r>
                  <w:r>
                    <w:rPr>
                      <w:rFonts w:hint="eastAsia" w:ascii="宋体" w:hAnsi="宋体"/>
                      <w:b/>
                      <w:color w:val="auto"/>
                      <w:sz w:val="28"/>
                    </w:rPr>
                    <w:t>号</w:t>
                  </w:r>
                </w:p>
              </w:txbxContent>
            </v:textbox>
          </v:shape>
        </w:pict>
      </w:r>
    </w:p>
    <w:p>
      <w:pPr>
        <w:pStyle w:val="440"/>
        <w:ind w:firstLine="0" w:firstLineChars="0"/>
        <w:jc w:val="left"/>
      </w:pPr>
    </w:p>
    <w:p>
      <w:pPr>
        <w:pStyle w:val="440"/>
        <w:ind w:firstLine="0" w:firstLineChars="0"/>
        <w:jc w:val="left"/>
      </w:pPr>
    </w:p>
    <w:p>
      <w:pPr>
        <w:pStyle w:val="440"/>
        <w:ind w:firstLine="0" w:firstLineChars="0"/>
        <w:jc w:val="left"/>
      </w:pPr>
    </w:p>
    <w:p>
      <w:pPr>
        <w:ind w:left="560" w:firstLine="480"/>
        <w:jc w:val="center"/>
        <w:rPr>
          <w:rFonts w:ascii="Times New Roman" w:hAnsi="Times New Roman"/>
        </w:rPr>
      </w:pPr>
    </w:p>
    <w:p>
      <w:pPr>
        <w:ind w:left="0" w:leftChars="0" w:firstLine="0" w:firstLineChars="0"/>
        <w:jc w:val="center"/>
        <w:rPr>
          <w:rFonts w:ascii="Times New Roman" w:hAnsi="Times New Roman"/>
        </w:rPr>
      </w:pPr>
      <w:r>
        <w:rPr>
          <w:rFonts w:hint="eastAsia"/>
          <w:sz w:val="44"/>
          <w:szCs w:val="44"/>
        </w:rPr>
        <w:t>泸州鑫盛轻工发展有限公司</w:t>
      </w:r>
    </w:p>
    <w:p>
      <w:pPr>
        <w:pStyle w:val="440"/>
        <w:ind w:firstLine="0" w:firstLineChars="0"/>
        <w:jc w:val="center"/>
        <w:rPr>
          <w:sz w:val="44"/>
          <w:szCs w:val="44"/>
        </w:rPr>
      </w:pPr>
      <w:r>
        <w:rPr>
          <w:rFonts w:hint="eastAsia"/>
          <w:sz w:val="44"/>
          <w:szCs w:val="44"/>
        </w:rPr>
        <w:t>泸州市江阳区蓝田街道重湾（干坝子）安置房建设工程</w:t>
      </w:r>
    </w:p>
    <w:p>
      <w:pPr>
        <w:suppressAutoHyphens/>
        <w:wordWrap w:val="0"/>
        <w:topLinePunct/>
        <w:spacing w:line="480" w:lineRule="auto"/>
        <w:jc w:val="center"/>
        <w:rPr>
          <w:rFonts w:ascii="Times New Roman" w:hAnsi="宋体" w:eastAsia="宋体" w:cs="Times New Roman"/>
          <w:b/>
          <w:snapToGrid w:val="0"/>
          <w:kern w:val="0"/>
          <w:sz w:val="72"/>
          <w:szCs w:val="72"/>
        </w:rPr>
      </w:pPr>
      <w:r>
        <w:rPr>
          <w:rFonts w:ascii="Times New Roman" w:hAnsi="宋体" w:eastAsia="宋体" w:cs="Times New Roman"/>
          <w:b/>
          <w:snapToGrid w:val="0"/>
          <w:kern w:val="0"/>
          <w:sz w:val="72"/>
          <w:szCs w:val="72"/>
        </w:rPr>
        <w:t>水土保持</w:t>
      </w:r>
      <w:r>
        <w:rPr>
          <w:rFonts w:hint="eastAsia" w:ascii="Times New Roman" w:hAnsi="宋体" w:eastAsia="宋体" w:cs="Times New Roman"/>
          <w:b/>
          <w:snapToGrid w:val="0"/>
          <w:kern w:val="0"/>
          <w:sz w:val="72"/>
          <w:szCs w:val="72"/>
        </w:rPr>
        <w:t>设施验收</w:t>
      </w:r>
      <w:r>
        <w:rPr>
          <w:rFonts w:ascii="Times New Roman" w:hAnsi="宋体" w:eastAsia="宋体" w:cs="Times New Roman"/>
          <w:b/>
          <w:snapToGrid w:val="0"/>
          <w:kern w:val="0"/>
          <w:sz w:val="72"/>
          <w:szCs w:val="72"/>
        </w:rPr>
        <w:t>报告</w:t>
      </w:r>
    </w:p>
    <w:p>
      <w:pPr>
        <w:pStyle w:val="440"/>
        <w:ind w:firstLine="0" w:firstLineChars="0"/>
        <w:jc w:val="left"/>
        <w:rPr>
          <w:snapToGrid w:val="0"/>
          <w:sz w:val="76"/>
          <w:szCs w:val="76"/>
        </w:rPr>
      </w:pPr>
    </w:p>
    <w:p>
      <w:pPr>
        <w:pStyle w:val="440"/>
        <w:ind w:firstLine="0" w:firstLineChars="0"/>
        <w:jc w:val="left"/>
        <w:rPr>
          <w:snapToGrid w:val="0"/>
          <w:sz w:val="76"/>
          <w:szCs w:val="76"/>
        </w:rPr>
      </w:pPr>
    </w:p>
    <w:p>
      <w:pPr>
        <w:pStyle w:val="440"/>
        <w:ind w:firstLine="0" w:firstLineChars="0"/>
        <w:jc w:val="left"/>
        <w:rPr>
          <w:snapToGrid w:val="0"/>
          <w:sz w:val="76"/>
          <w:szCs w:val="76"/>
        </w:rPr>
      </w:pPr>
    </w:p>
    <w:p>
      <w:pPr>
        <w:pStyle w:val="440"/>
        <w:ind w:firstLine="0" w:firstLineChars="0"/>
        <w:jc w:val="left"/>
        <w:rPr>
          <w:rFonts w:eastAsia="黑体"/>
          <w:color w:val="000000"/>
          <w:sz w:val="36"/>
          <w:szCs w:val="36"/>
        </w:rPr>
      </w:pPr>
    </w:p>
    <w:p>
      <w:pPr>
        <w:pStyle w:val="440"/>
        <w:ind w:firstLine="0" w:firstLineChars="0"/>
        <w:jc w:val="left"/>
        <w:rPr>
          <w:rFonts w:eastAsia="黑体"/>
          <w:color w:val="000000"/>
          <w:sz w:val="36"/>
          <w:szCs w:val="36"/>
        </w:rPr>
      </w:pPr>
    </w:p>
    <w:p>
      <w:pPr>
        <w:pStyle w:val="440"/>
        <w:ind w:firstLine="0" w:firstLineChars="0"/>
        <w:jc w:val="left"/>
        <w:rPr>
          <w:rFonts w:eastAsia="黑体"/>
          <w:color w:val="000000"/>
          <w:sz w:val="36"/>
          <w:szCs w:val="36"/>
        </w:rPr>
      </w:pPr>
    </w:p>
    <w:p>
      <w:pPr>
        <w:pStyle w:val="440"/>
        <w:ind w:firstLine="0" w:firstLineChars="0"/>
        <w:jc w:val="left"/>
        <w:rPr>
          <w:rFonts w:eastAsia="黑体"/>
          <w:color w:val="000000"/>
          <w:sz w:val="36"/>
          <w:szCs w:val="36"/>
        </w:rPr>
      </w:pPr>
    </w:p>
    <w:p>
      <w:pPr>
        <w:pStyle w:val="440"/>
        <w:ind w:firstLine="0" w:firstLineChars="0"/>
        <w:jc w:val="left"/>
        <w:rPr>
          <w:rFonts w:eastAsia="黑体"/>
          <w:color w:val="000000"/>
          <w:sz w:val="36"/>
          <w:szCs w:val="36"/>
        </w:rPr>
      </w:pPr>
    </w:p>
    <w:p>
      <w:pPr>
        <w:pStyle w:val="440"/>
        <w:ind w:firstLine="0" w:firstLineChars="0"/>
        <w:jc w:val="left"/>
        <w:rPr>
          <w:rFonts w:eastAsia="黑体"/>
          <w:color w:val="000000"/>
          <w:sz w:val="36"/>
          <w:szCs w:val="36"/>
        </w:rPr>
      </w:pPr>
    </w:p>
    <w:p>
      <w:pPr>
        <w:pStyle w:val="440"/>
        <w:ind w:firstLine="0" w:firstLineChars="0"/>
        <w:jc w:val="left"/>
        <w:rPr>
          <w:rFonts w:eastAsia="黑体"/>
          <w:color w:val="000000"/>
          <w:sz w:val="36"/>
          <w:szCs w:val="36"/>
        </w:rPr>
      </w:pPr>
    </w:p>
    <w:p>
      <w:pPr>
        <w:pStyle w:val="440"/>
        <w:ind w:firstLine="0" w:firstLineChars="0"/>
        <w:jc w:val="left"/>
        <w:rPr>
          <w:rFonts w:eastAsia="黑体"/>
          <w:color w:val="000000"/>
          <w:sz w:val="36"/>
          <w:szCs w:val="36"/>
        </w:rPr>
      </w:pPr>
    </w:p>
    <w:p>
      <w:pPr>
        <w:pStyle w:val="440"/>
        <w:ind w:firstLine="0" w:firstLineChars="0"/>
        <w:jc w:val="left"/>
        <w:rPr>
          <w:rFonts w:eastAsia="黑体"/>
          <w:color w:val="000000"/>
          <w:sz w:val="36"/>
          <w:szCs w:val="36"/>
        </w:rPr>
      </w:pPr>
    </w:p>
    <w:p>
      <w:pPr>
        <w:jc w:val="center"/>
        <w:rPr>
          <w:rFonts w:hint="eastAsia"/>
          <w:color w:val="000000"/>
          <w:kern w:val="0"/>
          <w:sz w:val="32"/>
          <w:szCs w:val="32"/>
        </w:rPr>
      </w:pPr>
      <w:r>
        <w:rPr>
          <w:color w:val="000000"/>
          <w:kern w:val="0"/>
          <w:sz w:val="32"/>
          <w:szCs w:val="32"/>
        </w:rPr>
        <w:t>建设单</w:t>
      </w:r>
      <w:r>
        <w:rPr>
          <w:rFonts w:hint="eastAsia"/>
          <w:color w:val="000000"/>
          <w:kern w:val="0"/>
          <w:sz w:val="32"/>
          <w:szCs w:val="32"/>
        </w:rPr>
        <w:t>位：泸州鑫盛轻工发展有限公司</w:t>
      </w:r>
    </w:p>
    <w:p>
      <w:pPr>
        <w:jc w:val="center"/>
        <w:rPr>
          <w:rFonts w:hint="eastAsia"/>
          <w:color w:val="000000"/>
          <w:kern w:val="0"/>
          <w:sz w:val="32"/>
          <w:szCs w:val="32"/>
        </w:rPr>
      </w:pPr>
      <w:r>
        <w:rPr>
          <w:rFonts w:hint="eastAsia"/>
          <w:color w:val="000000"/>
          <w:kern w:val="0"/>
          <w:sz w:val="32"/>
          <w:szCs w:val="32"/>
        </w:rPr>
        <w:t>编制单位：四川眉山华能工程技术咨询设计有限公司</w:t>
      </w:r>
    </w:p>
    <w:p>
      <w:pPr>
        <w:ind w:firstLine="640"/>
        <w:jc w:val="center"/>
        <w:rPr>
          <w:sz w:val="32"/>
          <w:szCs w:val="32"/>
        </w:rPr>
      </w:pPr>
      <w:r>
        <w:rPr>
          <w:sz w:val="32"/>
          <w:szCs w:val="32"/>
        </w:rPr>
        <w:t>201</w:t>
      </w:r>
      <w:r>
        <w:rPr>
          <w:rFonts w:hint="eastAsia"/>
          <w:sz w:val="32"/>
          <w:szCs w:val="32"/>
          <w:lang w:val="en-US" w:eastAsia="zh-CN"/>
        </w:rPr>
        <w:t>9</w:t>
      </w:r>
      <w:r>
        <w:rPr>
          <w:sz w:val="32"/>
          <w:szCs w:val="32"/>
        </w:rPr>
        <w:t>年</w:t>
      </w:r>
      <w:r>
        <w:rPr>
          <w:rFonts w:hint="eastAsia"/>
          <w:sz w:val="32"/>
          <w:szCs w:val="32"/>
          <w:lang w:val="en-US" w:eastAsia="zh-CN"/>
        </w:rPr>
        <w:t>3</w:t>
      </w:r>
      <w:r>
        <w:rPr>
          <w:sz w:val="32"/>
          <w:szCs w:val="32"/>
        </w:rPr>
        <w:t>月</w:t>
      </w:r>
    </w:p>
    <w:p>
      <w:pPr>
        <w:ind w:firstLine="640"/>
        <w:jc w:val="center"/>
        <w:rPr>
          <w:sz w:val="32"/>
          <w:szCs w:val="32"/>
        </w:rPr>
      </w:pPr>
    </w:p>
    <w:p>
      <w:pPr>
        <w:spacing w:line="360" w:lineRule="auto"/>
        <w:jc w:val="center"/>
        <w:rPr>
          <w:b/>
          <w:sz w:val="44"/>
          <w:szCs w:val="44"/>
        </w:rPr>
      </w:pPr>
    </w:p>
    <w:p>
      <w:pPr>
        <w:spacing w:line="360" w:lineRule="auto"/>
        <w:jc w:val="center"/>
        <w:rPr>
          <w:b/>
          <w:sz w:val="44"/>
          <w:szCs w:val="44"/>
        </w:rPr>
      </w:pPr>
    </w:p>
    <w:p>
      <w:pPr>
        <w:pStyle w:val="440"/>
        <w:ind w:firstLine="0" w:firstLineChars="0"/>
        <w:jc w:val="center"/>
        <w:rPr>
          <w:sz w:val="44"/>
          <w:szCs w:val="44"/>
        </w:rPr>
      </w:pPr>
      <w:r>
        <w:rPr>
          <w:rFonts w:hint="eastAsia"/>
          <w:sz w:val="44"/>
          <w:szCs w:val="44"/>
        </w:rPr>
        <w:t>泸州市江阳区蓝田街道重湾（干坝子）安置房建设工程</w:t>
      </w:r>
    </w:p>
    <w:p>
      <w:pPr>
        <w:pStyle w:val="440"/>
        <w:ind w:firstLine="0" w:firstLineChars="0"/>
        <w:jc w:val="center"/>
        <w:rPr>
          <w:sz w:val="44"/>
          <w:szCs w:val="44"/>
        </w:rPr>
      </w:pPr>
    </w:p>
    <w:p>
      <w:pPr>
        <w:pStyle w:val="440"/>
        <w:ind w:firstLine="0" w:firstLineChars="0"/>
        <w:jc w:val="center"/>
        <w:rPr>
          <w:sz w:val="44"/>
          <w:szCs w:val="44"/>
        </w:rPr>
      </w:pPr>
    </w:p>
    <w:p>
      <w:pPr>
        <w:jc w:val="center"/>
        <w:rPr>
          <w:b/>
          <w:sz w:val="72"/>
          <w:szCs w:val="72"/>
        </w:rPr>
      </w:pPr>
      <w:r>
        <w:rPr>
          <w:b/>
          <w:sz w:val="52"/>
          <w:szCs w:val="52"/>
        </w:rPr>
        <w:t>水土保持</w:t>
      </w:r>
      <w:r>
        <w:rPr>
          <w:rFonts w:hint="eastAsia"/>
          <w:b/>
          <w:sz w:val="52"/>
          <w:szCs w:val="52"/>
        </w:rPr>
        <w:t>设施验收</w:t>
      </w:r>
      <w:r>
        <w:rPr>
          <w:b/>
          <w:sz w:val="52"/>
          <w:szCs w:val="52"/>
        </w:rPr>
        <w:t>报告</w:t>
      </w:r>
    </w:p>
    <w:p>
      <w:pPr>
        <w:jc w:val="center"/>
        <w:rPr>
          <w:b/>
          <w:sz w:val="72"/>
          <w:szCs w:val="72"/>
        </w:rPr>
      </w:pPr>
    </w:p>
    <w:p>
      <w:pPr>
        <w:jc w:val="center"/>
        <w:rPr>
          <w:b/>
          <w:sz w:val="72"/>
          <w:szCs w:val="72"/>
        </w:rPr>
      </w:pPr>
    </w:p>
    <w:p>
      <w:pPr>
        <w:ind w:firstLine="1804" w:firstLineChars="599"/>
        <w:rPr>
          <w:rFonts w:ascii="宋体" w:hAnsi="宋体" w:cs="宋体"/>
          <w:kern w:val="0"/>
        </w:rPr>
      </w:pPr>
      <w:r>
        <w:rPr>
          <w:b/>
          <w:bCs/>
          <w:sz w:val="30"/>
          <w:szCs w:val="30"/>
        </w:rPr>
        <w:t xml:space="preserve">批准：陈 </w:t>
      </w:r>
      <w:r>
        <w:rPr>
          <w:rFonts w:hint="eastAsia"/>
          <w:b/>
          <w:bCs/>
          <w:sz w:val="30"/>
          <w:szCs w:val="30"/>
        </w:rPr>
        <w:t xml:space="preserve"> 艳</w:t>
      </w:r>
      <w:r>
        <w:rPr>
          <w:b/>
          <w:bCs/>
          <w:sz w:val="30"/>
          <w:szCs w:val="30"/>
        </w:rPr>
        <w:t xml:space="preserve">       </w:t>
      </w:r>
      <w:r>
        <w:rPr>
          <w:rFonts w:ascii="宋体" w:hAnsi="宋体" w:cs="宋体"/>
          <w:kern w:val="0"/>
        </w:rPr>
        <w:drawing>
          <wp:inline distT="0" distB="0" distL="0" distR="0">
            <wp:extent cx="942975" cy="504825"/>
            <wp:effectExtent l="19050" t="0" r="9525" b="0"/>
            <wp:docPr id="3" name="图片 3" descr="C:\Users\钟航\AppData\Roaming\Tencent\Users\815680098\QQ\WinTemp\RichOle\G%A$2AM_NJO2C~0Y)V}@3U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钟航\AppData\Roaming\Tencent\Users\815680098\QQ\WinTemp\RichOle\G%A$2AM_NJO2C~0Y)V}@3U8.png"/>
                    <pic:cNvPicPr>
                      <a:picLocks noChangeAspect="1" noChangeArrowheads="1"/>
                    </pic:cNvPicPr>
                  </pic:nvPicPr>
                  <pic:blipFill>
                    <a:blip r:embed="rId11"/>
                    <a:srcRect/>
                    <a:stretch>
                      <a:fillRect/>
                    </a:stretch>
                  </pic:blipFill>
                  <pic:spPr>
                    <a:xfrm>
                      <a:off x="0" y="0"/>
                      <a:ext cx="942975" cy="504825"/>
                    </a:xfrm>
                    <a:prstGeom prst="rect">
                      <a:avLst/>
                    </a:prstGeom>
                    <a:noFill/>
                    <a:ln w="9525">
                      <a:noFill/>
                      <a:miter lim="800000"/>
                      <a:headEnd/>
                      <a:tailEnd/>
                    </a:ln>
                  </pic:spPr>
                </pic:pic>
              </a:graphicData>
            </a:graphic>
          </wp:inline>
        </w:drawing>
      </w:r>
    </w:p>
    <w:p>
      <w:pPr>
        <w:ind w:firstLine="1804" w:firstLineChars="599"/>
        <w:rPr>
          <w:rFonts w:ascii="宋体" w:hAnsi="宋体" w:cs="宋体"/>
          <w:kern w:val="0"/>
        </w:rPr>
      </w:pPr>
      <w:r>
        <w:rPr>
          <w:rFonts w:hint="eastAsia"/>
          <w:b/>
          <w:bCs/>
          <w:sz w:val="30"/>
          <w:szCs w:val="30"/>
        </w:rPr>
        <w:t>核定</w:t>
      </w:r>
      <w:r>
        <w:rPr>
          <w:b/>
          <w:bCs/>
          <w:sz w:val="30"/>
          <w:szCs w:val="30"/>
        </w:rPr>
        <w:t>：</w:t>
      </w:r>
      <w:r>
        <w:rPr>
          <w:rFonts w:hint="eastAsia"/>
          <w:b/>
          <w:bCs/>
          <w:sz w:val="30"/>
          <w:szCs w:val="30"/>
        </w:rPr>
        <w:t xml:space="preserve">虞  辛        </w:t>
      </w:r>
      <w:r>
        <w:rPr>
          <w:rFonts w:ascii="宋体" w:hAnsi="宋体" w:cs="宋体"/>
          <w:kern w:val="0"/>
        </w:rPr>
        <w:drawing>
          <wp:inline distT="0" distB="0" distL="0" distR="0">
            <wp:extent cx="1028700" cy="638175"/>
            <wp:effectExtent l="19050" t="0" r="0" b="0"/>
            <wp:docPr id="4" name="图片 5" descr="C:\Users\钟航\AppData\Roaming\Tencent\Users\815680098\QQ\WinTemp\RichOle\49[J92[Q]ODCERRSF2}95~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C:\Users\钟航\AppData\Roaming\Tencent\Users\815680098\QQ\WinTemp\RichOle\49[J92[Q]ODCERRSF2}95~Q.png"/>
                    <pic:cNvPicPr>
                      <a:picLocks noChangeAspect="1" noChangeArrowheads="1"/>
                    </pic:cNvPicPr>
                  </pic:nvPicPr>
                  <pic:blipFill>
                    <a:blip r:embed="rId12"/>
                    <a:srcRect/>
                    <a:stretch>
                      <a:fillRect/>
                    </a:stretch>
                  </pic:blipFill>
                  <pic:spPr>
                    <a:xfrm>
                      <a:off x="0" y="0"/>
                      <a:ext cx="1028700" cy="638175"/>
                    </a:xfrm>
                    <a:prstGeom prst="rect">
                      <a:avLst/>
                    </a:prstGeom>
                    <a:noFill/>
                    <a:ln w="9525">
                      <a:noFill/>
                      <a:miter lim="800000"/>
                      <a:headEnd/>
                      <a:tailEnd/>
                    </a:ln>
                  </pic:spPr>
                </pic:pic>
              </a:graphicData>
            </a:graphic>
          </wp:inline>
        </w:drawing>
      </w:r>
    </w:p>
    <w:p>
      <w:pPr>
        <w:ind w:firstLine="1804" w:firstLineChars="599"/>
        <w:rPr>
          <w:rFonts w:ascii="宋体" w:hAnsi="宋体" w:cs="宋体"/>
          <w:kern w:val="0"/>
        </w:rPr>
      </w:pPr>
      <w:r>
        <w:rPr>
          <w:rFonts w:hint="eastAsia"/>
          <w:b/>
          <w:bCs/>
          <w:sz w:val="30"/>
          <w:szCs w:val="30"/>
        </w:rPr>
        <w:t>审查</w:t>
      </w:r>
      <w:r>
        <w:rPr>
          <w:b/>
          <w:bCs/>
          <w:sz w:val="30"/>
          <w:szCs w:val="30"/>
        </w:rPr>
        <w:t>：</w:t>
      </w:r>
      <w:r>
        <w:rPr>
          <w:rFonts w:hint="eastAsia"/>
          <w:b/>
          <w:bCs/>
          <w:sz w:val="30"/>
          <w:szCs w:val="30"/>
        </w:rPr>
        <w:t>曹彦龙</w:t>
      </w:r>
      <w:r>
        <w:rPr>
          <w:b/>
          <w:bCs/>
          <w:sz w:val="30"/>
          <w:szCs w:val="30"/>
        </w:rPr>
        <w:t xml:space="preserve">        </w:t>
      </w:r>
      <w:r>
        <w:rPr>
          <w:rFonts w:ascii="宋体" w:hAnsi="宋体" w:cs="宋体"/>
          <w:kern w:val="0"/>
        </w:rPr>
        <w:drawing>
          <wp:inline distT="0" distB="0" distL="0" distR="0">
            <wp:extent cx="1000125" cy="523875"/>
            <wp:effectExtent l="19050" t="0" r="9525" b="0"/>
            <wp:docPr id="5" name="图片 9" descr="C:\Users\钟航\AppData\Roaming\Tencent\Users\815680098\QQ\WinTemp\RichOle\44S}RRR%BXO0$%UV(`GSG_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C:\Users\钟航\AppData\Roaming\Tencent\Users\815680098\QQ\WinTemp\RichOle\44S}RRR%BXO0$%UV(`GSG_A.png"/>
                    <pic:cNvPicPr>
                      <a:picLocks noChangeAspect="1" noChangeArrowheads="1"/>
                    </pic:cNvPicPr>
                  </pic:nvPicPr>
                  <pic:blipFill>
                    <a:blip r:embed="rId13"/>
                    <a:srcRect/>
                    <a:stretch>
                      <a:fillRect/>
                    </a:stretch>
                  </pic:blipFill>
                  <pic:spPr>
                    <a:xfrm>
                      <a:off x="0" y="0"/>
                      <a:ext cx="1000125" cy="523875"/>
                    </a:xfrm>
                    <a:prstGeom prst="rect">
                      <a:avLst/>
                    </a:prstGeom>
                    <a:noFill/>
                    <a:ln w="9525">
                      <a:noFill/>
                      <a:miter lim="800000"/>
                      <a:headEnd/>
                      <a:tailEnd/>
                    </a:ln>
                  </pic:spPr>
                </pic:pic>
              </a:graphicData>
            </a:graphic>
          </wp:inline>
        </w:drawing>
      </w:r>
    </w:p>
    <w:p>
      <w:pPr>
        <w:ind w:firstLine="1804" w:firstLineChars="599"/>
        <w:rPr>
          <w:rFonts w:ascii="宋体" w:hAnsi="宋体" w:cs="宋体"/>
          <w:kern w:val="0"/>
        </w:rPr>
      </w:pPr>
      <w:r>
        <w:rPr>
          <w:b/>
          <w:bCs/>
          <w:sz w:val="30"/>
          <w:szCs w:val="30"/>
        </w:rPr>
        <w:t>校核：</w:t>
      </w:r>
      <w:r>
        <w:rPr>
          <w:rFonts w:hint="eastAsia"/>
          <w:b/>
          <w:bCs/>
          <w:sz w:val="30"/>
          <w:szCs w:val="30"/>
        </w:rPr>
        <w:t>何桂</w:t>
      </w:r>
      <w:r>
        <w:rPr>
          <w:rFonts w:hint="eastAsia"/>
          <w:b/>
          <w:bCs/>
          <w:sz w:val="30"/>
          <w:szCs w:val="30"/>
          <w:lang w:val="en-US" w:eastAsia="zh-CN"/>
        </w:rPr>
        <w:t>萍</w:t>
      </w:r>
      <w:r>
        <w:rPr>
          <w:b/>
          <w:bCs/>
          <w:sz w:val="30"/>
          <w:szCs w:val="30"/>
        </w:rPr>
        <w:t xml:space="preserve">   </w:t>
      </w:r>
      <w:r>
        <w:rPr>
          <w:rFonts w:hint="eastAsia"/>
          <w:b/>
          <w:bCs/>
          <w:sz w:val="30"/>
          <w:szCs w:val="30"/>
        </w:rPr>
        <w:t xml:space="preserve">     </w:t>
      </w:r>
      <w:r>
        <w:rPr>
          <w:rFonts w:ascii="宋体" w:hAnsi="宋体" w:cs="宋体"/>
          <w:kern w:val="0"/>
        </w:rPr>
        <w:drawing>
          <wp:inline distT="0" distB="0" distL="0" distR="0">
            <wp:extent cx="742950" cy="485775"/>
            <wp:effectExtent l="19050" t="0" r="0" b="0"/>
            <wp:docPr id="6" name="图片 13" descr="C:\Users\钟航\AppData\Roaming\Tencent\Users\815680098\QQ\WinTemp\RichOle\%V03GE6$[WNHD%OS`~}4`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descr="C:\Users\钟航\AppData\Roaming\Tencent\Users\815680098\QQ\WinTemp\RichOle\%V03GE6$[WNHD%OS`~}4`IG.png"/>
                    <pic:cNvPicPr>
                      <a:picLocks noChangeAspect="1" noChangeArrowheads="1"/>
                    </pic:cNvPicPr>
                  </pic:nvPicPr>
                  <pic:blipFill>
                    <a:blip r:embed="rId14"/>
                    <a:srcRect/>
                    <a:stretch>
                      <a:fillRect/>
                    </a:stretch>
                  </pic:blipFill>
                  <pic:spPr>
                    <a:xfrm>
                      <a:off x="0" y="0"/>
                      <a:ext cx="742950" cy="485775"/>
                    </a:xfrm>
                    <a:prstGeom prst="rect">
                      <a:avLst/>
                    </a:prstGeom>
                    <a:noFill/>
                    <a:ln w="9525">
                      <a:noFill/>
                      <a:miter lim="800000"/>
                      <a:headEnd/>
                      <a:tailEnd/>
                    </a:ln>
                  </pic:spPr>
                </pic:pic>
              </a:graphicData>
            </a:graphic>
          </wp:inline>
        </w:drawing>
      </w:r>
    </w:p>
    <w:p>
      <w:pPr>
        <w:ind w:firstLine="1804" w:firstLineChars="599"/>
        <w:rPr>
          <w:b/>
          <w:bCs/>
          <w:sz w:val="30"/>
          <w:szCs w:val="30"/>
        </w:rPr>
      </w:pPr>
    </w:p>
    <w:p>
      <w:pPr>
        <w:ind w:firstLine="1804" w:firstLineChars="599"/>
        <w:rPr>
          <w:rFonts w:ascii="宋体" w:hAnsi="宋体" w:cs="宋体"/>
          <w:kern w:val="0"/>
        </w:rPr>
      </w:pPr>
      <w:r>
        <w:rPr>
          <w:rFonts w:hint="eastAsia"/>
          <w:b/>
          <w:bCs/>
          <w:sz w:val="30"/>
          <w:szCs w:val="30"/>
        </w:rPr>
        <w:t>编写</w:t>
      </w:r>
      <w:r>
        <w:rPr>
          <w:b/>
          <w:bCs/>
          <w:sz w:val="30"/>
          <w:szCs w:val="30"/>
        </w:rPr>
        <w:t>：</w:t>
      </w:r>
      <w:r>
        <w:rPr>
          <w:rFonts w:hint="eastAsia"/>
          <w:b/>
          <w:bCs/>
          <w:sz w:val="30"/>
          <w:szCs w:val="30"/>
          <w:lang w:val="en-US" w:eastAsia="zh-CN"/>
        </w:rPr>
        <w:t>王</w:t>
      </w:r>
      <w:r>
        <w:rPr>
          <w:rFonts w:hint="eastAsia"/>
          <w:b/>
          <w:bCs/>
          <w:sz w:val="30"/>
          <w:szCs w:val="30"/>
        </w:rPr>
        <w:t xml:space="preserve">  </w:t>
      </w:r>
      <w:r>
        <w:rPr>
          <w:rFonts w:hint="eastAsia"/>
          <w:b/>
          <w:bCs/>
          <w:sz w:val="30"/>
          <w:szCs w:val="30"/>
          <w:lang w:val="en-US" w:eastAsia="zh-CN"/>
        </w:rPr>
        <w:t>前</w:t>
      </w:r>
      <w:r>
        <w:rPr>
          <w:b/>
          <w:bCs/>
          <w:sz w:val="30"/>
          <w:szCs w:val="30"/>
        </w:rPr>
        <w:t xml:space="preserve">  </w:t>
      </w:r>
    </w:p>
    <w:p>
      <w:pPr>
        <w:ind w:firstLine="640"/>
        <w:jc w:val="center"/>
        <w:rPr>
          <w:color w:val="000000"/>
          <w:kern w:val="0"/>
          <w:sz w:val="32"/>
          <w:szCs w:val="32"/>
        </w:rPr>
      </w:pPr>
    </w:p>
    <w:p>
      <w:pPr>
        <w:topLinePunct/>
        <w:spacing w:before="120" w:beforeLines="50" w:after="120" w:afterLines="50"/>
        <w:jc w:val="center"/>
        <w:rPr>
          <w:rFonts w:ascii="黑体" w:hAnsi="黑体" w:eastAsia="黑体"/>
          <w:bCs/>
          <w:sz w:val="36"/>
          <w:szCs w:val="36"/>
        </w:rPr>
        <w:sectPr>
          <w:headerReference r:id="rId4" w:type="first"/>
          <w:footerReference r:id="rId6" w:type="first"/>
          <w:headerReference r:id="rId3" w:type="default"/>
          <w:footerReference r:id="rId5" w:type="default"/>
          <w:pgSz w:w="11906" w:h="16838"/>
          <w:pgMar w:top="1440" w:right="1440" w:bottom="1440" w:left="1701" w:header="851" w:footer="964" w:gutter="0"/>
          <w:pgNumType w:start="0"/>
          <w:cols w:space="425" w:num="1"/>
          <w:titlePg/>
          <w:docGrid w:linePitch="312" w:charSpace="0"/>
        </w:sectPr>
      </w:pPr>
    </w:p>
    <w:p>
      <w:pPr>
        <w:topLinePunct/>
        <w:spacing w:before="120" w:beforeLines="50" w:after="120" w:afterLines="50"/>
        <w:jc w:val="center"/>
        <w:rPr>
          <w:rFonts w:ascii="黑体" w:hAnsi="黑体" w:eastAsia="黑体"/>
          <w:bCs/>
          <w:sz w:val="36"/>
          <w:szCs w:val="36"/>
        </w:rPr>
      </w:pPr>
      <w:r>
        <w:rPr>
          <w:rFonts w:ascii="黑体" w:hAnsi="黑体" w:eastAsia="黑体"/>
          <w:bCs/>
          <w:sz w:val="36"/>
          <w:szCs w:val="36"/>
        </w:rPr>
        <w:t>目</w:t>
      </w:r>
      <w:r>
        <w:rPr>
          <w:rFonts w:hint="eastAsia" w:ascii="黑体" w:hAnsi="黑体" w:eastAsia="黑体"/>
          <w:bCs/>
          <w:sz w:val="36"/>
          <w:szCs w:val="36"/>
        </w:rPr>
        <w:t xml:space="preserve">  </w:t>
      </w:r>
      <w:r>
        <w:rPr>
          <w:rFonts w:ascii="黑体" w:hAnsi="黑体" w:eastAsia="黑体"/>
          <w:bCs/>
          <w:sz w:val="36"/>
          <w:szCs w:val="36"/>
        </w:rPr>
        <w:t>录</w:t>
      </w:r>
    </w:p>
    <w:p>
      <w:pPr>
        <w:pStyle w:val="30"/>
        <w:rPr>
          <w:rFonts w:asciiTheme="minorHAnsi" w:hAnsiTheme="minorHAnsi" w:cstheme="minorBidi"/>
          <w:b w:val="0"/>
          <w:bCs w:val="0"/>
          <w:caps w:val="0"/>
          <w:sz w:val="21"/>
          <w:szCs w:val="22"/>
        </w:rPr>
      </w:pPr>
      <w:r>
        <w:fldChar w:fldCharType="begin"/>
      </w:r>
      <w:r>
        <w:instrText xml:space="preserve"> TOC \o "1-2" \h \z \u </w:instrText>
      </w:r>
      <w:r>
        <w:fldChar w:fldCharType="separate"/>
      </w:r>
      <w:r>
        <w:fldChar w:fldCharType="begin"/>
      </w:r>
      <w:r>
        <w:instrText xml:space="preserve"> HYPERLINK \l "_Toc502049567" </w:instrText>
      </w:r>
      <w:r>
        <w:fldChar w:fldCharType="separate"/>
      </w:r>
      <w:r>
        <w:rPr>
          <w:rStyle w:val="54"/>
          <w:rFonts w:hint="eastAsia"/>
        </w:rPr>
        <w:t>前言</w:t>
      </w:r>
      <w:r>
        <w:tab/>
      </w:r>
      <w:r>
        <w:fldChar w:fldCharType="begin"/>
      </w:r>
      <w:r>
        <w:instrText xml:space="preserve"> PAGEREF _Toc502049567 \h </w:instrText>
      </w:r>
      <w:r>
        <w:fldChar w:fldCharType="separate"/>
      </w:r>
      <w:r>
        <w:t>1</w:t>
      </w:r>
      <w:r>
        <w:fldChar w:fldCharType="end"/>
      </w:r>
      <w:r>
        <w:fldChar w:fldCharType="end"/>
      </w:r>
    </w:p>
    <w:p>
      <w:pPr>
        <w:pStyle w:val="30"/>
        <w:rPr>
          <w:rFonts w:asciiTheme="minorHAnsi" w:hAnsiTheme="minorHAnsi" w:cstheme="minorBidi"/>
          <w:b w:val="0"/>
          <w:bCs w:val="0"/>
          <w:caps w:val="0"/>
          <w:sz w:val="21"/>
          <w:szCs w:val="22"/>
        </w:rPr>
      </w:pPr>
      <w:r>
        <w:fldChar w:fldCharType="begin"/>
      </w:r>
      <w:r>
        <w:instrText xml:space="preserve"> HYPERLINK \l "_Toc502049568" </w:instrText>
      </w:r>
      <w:r>
        <w:fldChar w:fldCharType="separate"/>
      </w:r>
      <w:r>
        <w:rPr>
          <w:rStyle w:val="54"/>
        </w:rPr>
        <w:t>1</w:t>
      </w:r>
      <w:r>
        <w:rPr>
          <w:rStyle w:val="54"/>
          <w:rFonts w:hint="eastAsia"/>
        </w:rPr>
        <w:t>项目及项目区概况</w:t>
      </w:r>
      <w:r>
        <w:tab/>
      </w:r>
      <w:r>
        <w:fldChar w:fldCharType="begin"/>
      </w:r>
      <w:r>
        <w:instrText xml:space="preserve"> PAGEREF _Toc502049568 \h </w:instrText>
      </w:r>
      <w:r>
        <w:fldChar w:fldCharType="separate"/>
      </w:r>
      <w:r>
        <w:t>4</w:t>
      </w:r>
      <w:r>
        <w:fldChar w:fldCharType="end"/>
      </w:r>
      <w:r>
        <w:fldChar w:fldCharType="end"/>
      </w:r>
    </w:p>
    <w:p>
      <w:pPr>
        <w:pStyle w:val="37"/>
        <w:rPr>
          <w:rFonts w:eastAsiaTheme="minorEastAsia" w:cstheme="minorBidi"/>
          <w:smallCaps w:val="0"/>
          <w:szCs w:val="22"/>
        </w:rPr>
      </w:pPr>
      <w:r>
        <w:fldChar w:fldCharType="begin"/>
      </w:r>
      <w:r>
        <w:instrText xml:space="preserve"> HYPERLINK \l "_Toc502049569" </w:instrText>
      </w:r>
      <w:r>
        <w:fldChar w:fldCharType="separate"/>
      </w:r>
      <w:r>
        <w:rPr>
          <w:rStyle w:val="54"/>
        </w:rPr>
        <w:t>1.1</w:t>
      </w:r>
      <w:r>
        <w:rPr>
          <w:rStyle w:val="54"/>
          <w:rFonts w:hint="eastAsia"/>
        </w:rPr>
        <w:t>项目概况</w:t>
      </w:r>
      <w:r>
        <w:tab/>
      </w:r>
      <w:r>
        <w:fldChar w:fldCharType="begin"/>
      </w:r>
      <w:r>
        <w:instrText xml:space="preserve"> PAGEREF _Toc502049569 \h </w:instrText>
      </w:r>
      <w:r>
        <w:fldChar w:fldCharType="separate"/>
      </w:r>
      <w:r>
        <w:t>4</w:t>
      </w:r>
      <w:r>
        <w:fldChar w:fldCharType="end"/>
      </w:r>
      <w:r>
        <w:fldChar w:fldCharType="end"/>
      </w:r>
    </w:p>
    <w:p>
      <w:pPr>
        <w:pStyle w:val="37"/>
        <w:rPr>
          <w:rFonts w:eastAsiaTheme="minorEastAsia" w:cstheme="minorBidi"/>
          <w:smallCaps w:val="0"/>
          <w:szCs w:val="22"/>
        </w:rPr>
      </w:pPr>
      <w:r>
        <w:fldChar w:fldCharType="begin"/>
      </w:r>
      <w:r>
        <w:instrText xml:space="preserve"> HYPERLINK \l "_Toc502049570" </w:instrText>
      </w:r>
      <w:r>
        <w:fldChar w:fldCharType="separate"/>
      </w:r>
      <w:r>
        <w:rPr>
          <w:rStyle w:val="54"/>
        </w:rPr>
        <w:t>1.2</w:t>
      </w:r>
      <w:r>
        <w:rPr>
          <w:rStyle w:val="54"/>
          <w:rFonts w:hint="eastAsia"/>
        </w:rPr>
        <w:t>项目区概况</w:t>
      </w:r>
      <w:r>
        <w:tab/>
      </w:r>
      <w:r>
        <w:fldChar w:fldCharType="begin"/>
      </w:r>
      <w:r>
        <w:instrText xml:space="preserve"> PAGEREF _Toc502049570 \h </w:instrText>
      </w:r>
      <w:r>
        <w:fldChar w:fldCharType="separate"/>
      </w:r>
      <w:r>
        <w:t>6</w:t>
      </w:r>
      <w:r>
        <w:fldChar w:fldCharType="end"/>
      </w:r>
      <w:r>
        <w:fldChar w:fldCharType="end"/>
      </w:r>
    </w:p>
    <w:p>
      <w:pPr>
        <w:pStyle w:val="30"/>
        <w:rPr>
          <w:rFonts w:asciiTheme="minorHAnsi" w:hAnsiTheme="minorHAnsi" w:cstheme="minorBidi"/>
          <w:b w:val="0"/>
          <w:bCs w:val="0"/>
          <w:caps w:val="0"/>
          <w:sz w:val="21"/>
          <w:szCs w:val="22"/>
        </w:rPr>
      </w:pPr>
      <w:r>
        <w:fldChar w:fldCharType="begin"/>
      </w:r>
      <w:r>
        <w:instrText xml:space="preserve"> HYPERLINK \l "_Toc502049571" </w:instrText>
      </w:r>
      <w:r>
        <w:fldChar w:fldCharType="separate"/>
      </w:r>
      <w:r>
        <w:rPr>
          <w:rStyle w:val="54"/>
        </w:rPr>
        <w:t>2</w:t>
      </w:r>
      <w:r>
        <w:rPr>
          <w:rStyle w:val="54"/>
          <w:rFonts w:hint="eastAsia"/>
        </w:rPr>
        <w:t>水土保持方案和设计情况</w:t>
      </w:r>
      <w:r>
        <w:tab/>
      </w:r>
      <w:r>
        <w:fldChar w:fldCharType="begin"/>
      </w:r>
      <w:r>
        <w:instrText xml:space="preserve"> PAGEREF _Toc502049571 \h </w:instrText>
      </w:r>
      <w:r>
        <w:fldChar w:fldCharType="separate"/>
      </w:r>
      <w:r>
        <w:t>14</w:t>
      </w:r>
      <w:r>
        <w:fldChar w:fldCharType="end"/>
      </w:r>
      <w:r>
        <w:fldChar w:fldCharType="end"/>
      </w:r>
    </w:p>
    <w:p>
      <w:pPr>
        <w:pStyle w:val="37"/>
        <w:rPr>
          <w:rFonts w:eastAsiaTheme="minorEastAsia" w:cstheme="minorBidi"/>
          <w:smallCaps w:val="0"/>
          <w:szCs w:val="22"/>
        </w:rPr>
      </w:pPr>
      <w:r>
        <w:fldChar w:fldCharType="begin"/>
      </w:r>
      <w:r>
        <w:instrText xml:space="preserve"> HYPERLINK \l "_Toc502049572" </w:instrText>
      </w:r>
      <w:r>
        <w:fldChar w:fldCharType="separate"/>
      </w:r>
      <w:r>
        <w:rPr>
          <w:rStyle w:val="54"/>
        </w:rPr>
        <w:t>2.1</w:t>
      </w:r>
      <w:r>
        <w:rPr>
          <w:rStyle w:val="54"/>
          <w:rFonts w:hint="eastAsia"/>
        </w:rPr>
        <w:t>主体工程设计</w:t>
      </w:r>
      <w:r>
        <w:tab/>
      </w:r>
      <w:r>
        <w:fldChar w:fldCharType="begin"/>
      </w:r>
      <w:r>
        <w:instrText xml:space="preserve"> PAGEREF _Toc502049572 \h </w:instrText>
      </w:r>
      <w:r>
        <w:fldChar w:fldCharType="separate"/>
      </w:r>
      <w:r>
        <w:t>14</w:t>
      </w:r>
      <w:r>
        <w:fldChar w:fldCharType="end"/>
      </w:r>
      <w:r>
        <w:fldChar w:fldCharType="end"/>
      </w:r>
    </w:p>
    <w:p>
      <w:pPr>
        <w:pStyle w:val="37"/>
        <w:rPr>
          <w:rFonts w:eastAsiaTheme="minorEastAsia" w:cstheme="minorBidi"/>
          <w:smallCaps w:val="0"/>
          <w:szCs w:val="22"/>
        </w:rPr>
      </w:pPr>
      <w:r>
        <w:fldChar w:fldCharType="begin"/>
      </w:r>
      <w:r>
        <w:instrText xml:space="preserve"> HYPERLINK \l "_Toc502049573" </w:instrText>
      </w:r>
      <w:r>
        <w:fldChar w:fldCharType="separate"/>
      </w:r>
      <w:r>
        <w:rPr>
          <w:rStyle w:val="54"/>
        </w:rPr>
        <w:t>2.2</w:t>
      </w:r>
      <w:r>
        <w:rPr>
          <w:rStyle w:val="54"/>
          <w:rFonts w:hint="eastAsia"/>
        </w:rPr>
        <w:t>水土保持方案</w:t>
      </w:r>
      <w:r>
        <w:tab/>
      </w:r>
      <w:r>
        <w:fldChar w:fldCharType="begin"/>
      </w:r>
      <w:r>
        <w:instrText xml:space="preserve"> PAGEREF _Toc502049573 \h </w:instrText>
      </w:r>
      <w:r>
        <w:fldChar w:fldCharType="separate"/>
      </w:r>
      <w:r>
        <w:t>14</w:t>
      </w:r>
      <w:r>
        <w:fldChar w:fldCharType="end"/>
      </w:r>
      <w:r>
        <w:fldChar w:fldCharType="end"/>
      </w:r>
    </w:p>
    <w:p>
      <w:pPr>
        <w:pStyle w:val="37"/>
        <w:rPr>
          <w:rFonts w:eastAsiaTheme="minorEastAsia" w:cstheme="minorBidi"/>
          <w:smallCaps w:val="0"/>
          <w:szCs w:val="22"/>
        </w:rPr>
      </w:pPr>
      <w:r>
        <w:fldChar w:fldCharType="begin"/>
      </w:r>
      <w:r>
        <w:instrText xml:space="preserve"> HYPERLINK \l "_Toc502049574" </w:instrText>
      </w:r>
      <w:r>
        <w:fldChar w:fldCharType="separate"/>
      </w:r>
      <w:r>
        <w:rPr>
          <w:rStyle w:val="54"/>
        </w:rPr>
        <w:t>2.3</w:t>
      </w:r>
      <w:r>
        <w:rPr>
          <w:rStyle w:val="54"/>
          <w:rFonts w:hint="eastAsia"/>
        </w:rPr>
        <w:t>水土保持方案变更</w:t>
      </w:r>
      <w:r>
        <w:tab/>
      </w:r>
      <w:r>
        <w:fldChar w:fldCharType="begin"/>
      </w:r>
      <w:r>
        <w:instrText xml:space="preserve"> PAGEREF _Toc502049574 \h </w:instrText>
      </w:r>
      <w:r>
        <w:fldChar w:fldCharType="separate"/>
      </w:r>
      <w:r>
        <w:t>14</w:t>
      </w:r>
      <w:r>
        <w:fldChar w:fldCharType="end"/>
      </w:r>
      <w:r>
        <w:fldChar w:fldCharType="end"/>
      </w:r>
    </w:p>
    <w:p>
      <w:pPr>
        <w:pStyle w:val="37"/>
        <w:rPr>
          <w:rFonts w:eastAsiaTheme="minorEastAsia" w:cstheme="minorBidi"/>
          <w:smallCaps w:val="0"/>
          <w:szCs w:val="22"/>
        </w:rPr>
      </w:pPr>
      <w:r>
        <w:fldChar w:fldCharType="begin"/>
      </w:r>
      <w:r>
        <w:instrText xml:space="preserve"> HYPERLINK \l "_Toc502049575" </w:instrText>
      </w:r>
      <w:r>
        <w:fldChar w:fldCharType="separate"/>
      </w:r>
      <w:r>
        <w:rPr>
          <w:rStyle w:val="54"/>
        </w:rPr>
        <w:t>2.4</w:t>
      </w:r>
      <w:r>
        <w:rPr>
          <w:rStyle w:val="54"/>
          <w:rFonts w:hint="eastAsia"/>
        </w:rPr>
        <w:t>水土保持后续设计</w:t>
      </w:r>
      <w:r>
        <w:tab/>
      </w:r>
      <w:r>
        <w:fldChar w:fldCharType="begin"/>
      </w:r>
      <w:r>
        <w:instrText xml:space="preserve"> PAGEREF _Toc502049575 \h </w:instrText>
      </w:r>
      <w:r>
        <w:fldChar w:fldCharType="separate"/>
      </w:r>
      <w:r>
        <w:t>15</w:t>
      </w:r>
      <w:r>
        <w:fldChar w:fldCharType="end"/>
      </w:r>
      <w:r>
        <w:fldChar w:fldCharType="end"/>
      </w:r>
    </w:p>
    <w:p>
      <w:pPr>
        <w:pStyle w:val="30"/>
        <w:rPr>
          <w:rFonts w:asciiTheme="minorHAnsi" w:hAnsiTheme="minorHAnsi" w:cstheme="minorBidi"/>
          <w:b w:val="0"/>
          <w:bCs w:val="0"/>
          <w:caps w:val="0"/>
          <w:sz w:val="21"/>
          <w:szCs w:val="22"/>
        </w:rPr>
      </w:pPr>
      <w:r>
        <w:fldChar w:fldCharType="begin"/>
      </w:r>
      <w:r>
        <w:instrText xml:space="preserve"> HYPERLINK \l "_Toc502049576" </w:instrText>
      </w:r>
      <w:r>
        <w:fldChar w:fldCharType="separate"/>
      </w:r>
      <w:r>
        <w:rPr>
          <w:rStyle w:val="54"/>
        </w:rPr>
        <w:t>3</w:t>
      </w:r>
      <w:r>
        <w:rPr>
          <w:rStyle w:val="54"/>
          <w:rFonts w:hint="eastAsia"/>
        </w:rPr>
        <w:t>水土保持方案实施情况</w:t>
      </w:r>
      <w:r>
        <w:tab/>
      </w:r>
      <w:r>
        <w:fldChar w:fldCharType="begin"/>
      </w:r>
      <w:r>
        <w:instrText xml:space="preserve"> PAGEREF _Toc502049576 \h </w:instrText>
      </w:r>
      <w:r>
        <w:fldChar w:fldCharType="separate"/>
      </w:r>
      <w:r>
        <w:t>16</w:t>
      </w:r>
      <w:r>
        <w:fldChar w:fldCharType="end"/>
      </w:r>
      <w:r>
        <w:fldChar w:fldCharType="end"/>
      </w:r>
    </w:p>
    <w:p>
      <w:pPr>
        <w:pStyle w:val="37"/>
        <w:rPr>
          <w:rFonts w:eastAsiaTheme="minorEastAsia" w:cstheme="minorBidi"/>
          <w:smallCaps w:val="0"/>
          <w:szCs w:val="22"/>
        </w:rPr>
      </w:pPr>
      <w:r>
        <w:fldChar w:fldCharType="begin"/>
      </w:r>
      <w:r>
        <w:instrText xml:space="preserve"> HYPERLINK \l "_Toc502049577" </w:instrText>
      </w:r>
      <w:r>
        <w:fldChar w:fldCharType="separate"/>
      </w:r>
      <w:r>
        <w:rPr>
          <w:rStyle w:val="54"/>
        </w:rPr>
        <w:t>3.1</w:t>
      </w:r>
      <w:r>
        <w:rPr>
          <w:rStyle w:val="54"/>
          <w:rFonts w:hint="eastAsia"/>
        </w:rPr>
        <w:t>水土流失防治责任范围</w:t>
      </w:r>
      <w:r>
        <w:tab/>
      </w:r>
      <w:r>
        <w:fldChar w:fldCharType="begin"/>
      </w:r>
      <w:r>
        <w:instrText xml:space="preserve"> PAGEREF _Toc502049577 \h </w:instrText>
      </w:r>
      <w:r>
        <w:fldChar w:fldCharType="separate"/>
      </w:r>
      <w:r>
        <w:t>16</w:t>
      </w:r>
      <w:r>
        <w:fldChar w:fldCharType="end"/>
      </w:r>
      <w:r>
        <w:fldChar w:fldCharType="end"/>
      </w:r>
    </w:p>
    <w:p>
      <w:pPr>
        <w:pStyle w:val="37"/>
        <w:rPr>
          <w:rFonts w:eastAsiaTheme="minorEastAsia" w:cstheme="minorBidi"/>
          <w:smallCaps w:val="0"/>
          <w:szCs w:val="22"/>
        </w:rPr>
      </w:pPr>
      <w:r>
        <w:fldChar w:fldCharType="begin"/>
      </w:r>
      <w:r>
        <w:instrText xml:space="preserve"> HYPERLINK \l "_Toc502049578" </w:instrText>
      </w:r>
      <w:r>
        <w:fldChar w:fldCharType="separate"/>
      </w:r>
      <w:r>
        <w:rPr>
          <w:rStyle w:val="54"/>
        </w:rPr>
        <w:t>3.2</w:t>
      </w:r>
      <w:r>
        <w:rPr>
          <w:rStyle w:val="54"/>
          <w:rFonts w:hint="eastAsia"/>
        </w:rPr>
        <w:t>弃渣场设置</w:t>
      </w:r>
      <w:r>
        <w:tab/>
      </w:r>
      <w:r>
        <w:fldChar w:fldCharType="begin"/>
      </w:r>
      <w:r>
        <w:instrText xml:space="preserve"> PAGEREF _Toc502049578 \h </w:instrText>
      </w:r>
      <w:r>
        <w:fldChar w:fldCharType="separate"/>
      </w:r>
      <w:r>
        <w:t>16</w:t>
      </w:r>
      <w:r>
        <w:fldChar w:fldCharType="end"/>
      </w:r>
      <w:r>
        <w:fldChar w:fldCharType="end"/>
      </w:r>
    </w:p>
    <w:p>
      <w:pPr>
        <w:pStyle w:val="37"/>
        <w:rPr>
          <w:rFonts w:eastAsiaTheme="minorEastAsia" w:cstheme="minorBidi"/>
          <w:smallCaps w:val="0"/>
          <w:szCs w:val="22"/>
        </w:rPr>
      </w:pPr>
      <w:r>
        <w:fldChar w:fldCharType="begin"/>
      </w:r>
      <w:r>
        <w:instrText xml:space="preserve"> HYPERLINK \l "_Toc502049579" </w:instrText>
      </w:r>
      <w:r>
        <w:fldChar w:fldCharType="separate"/>
      </w:r>
      <w:r>
        <w:rPr>
          <w:rStyle w:val="54"/>
        </w:rPr>
        <w:t>3.3</w:t>
      </w:r>
      <w:r>
        <w:rPr>
          <w:rStyle w:val="54"/>
          <w:rFonts w:hint="eastAsia"/>
        </w:rPr>
        <w:t>取土场设置</w:t>
      </w:r>
      <w:r>
        <w:tab/>
      </w:r>
      <w:r>
        <w:fldChar w:fldCharType="begin"/>
      </w:r>
      <w:r>
        <w:instrText xml:space="preserve"> PAGEREF _Toc502049579 \h </w:instrText>
      </w:r>
      <w:r>
        <w:fldChar w:fldCharType="separate"/>
      </w:r>
      <w:r>
        <w:t>16</w:t>
      </w:r>
      <w:r>
        <w:fldChar w:fldCharType="end"/>
      </w:r>
      <w:r>
        <w:fldChar w:fldCharType="end"/>
      </w:r>
    </w:p>
    <w:p>
      <w:pPr>
        <w:pStyle w:val="37"/>
        <w:rPr>
          <w:rFonts w:eastAsiaTheme="minorEastAsia" w:cstheme="minorBidi"/>
          <w:smallCaps w:val="0"/>
          <w:szCs w:val="22"/>
        </w:rPr>
      </w:pPr>
      <w:r>
        <w:fldChar w:fldCharType="begin"/>
      </w:r>
      <w:r>
        <w:instrText xml:space="preserve"> HYPERLINK \l "_Toc502049580" </w:instrText>
      </w:r>
      <w:r>
        <w:fldChar w:fldCharType="separate"/>
      </w:r>
      <w:r>
        <w:rPr>
          <w:rStyle w:val="54"/>
        </w:rPr>
        <w:t>3.4</w:t>
      </w:r>
      <w:r>
        <w:rPr>
          <w:rStyle w:val="54"/>
          <w:rFonts w:hint="eastAsia"/>
        </w:rPr>
        <w:t>水土保持措施总体布局</w:t>
      </w:r>
      <w:r>
        <w:tab/>
      </w:r>
      <w:r>
        <w:fldChar w:fldCharType="begin"/>
      </w:r>
      <w:r>
        <w:instrText xml:space="preserve"> PAGEREF _Toc502049580 \h </w:instrText>
      </w:r>
      <w:r>
        <w:fldChar w:fldCharType="separate"/>
      </w:r>
      <w:r>
        <w:t>17</w:t>
      </w:r>
      <w:r>
        <w:fldChar w:fldCharType="end"/>
      </w:r>
      <w:r>
        <w:fldChar w:fldCharType="end"/>
      </w:r>
    </w:p>
    <w:p>
      <w:pPr>
        <w:pStyle w:val="37"/>
        <w:rPr>
          <w:rFonts w:eastAsiaTheme="minorEastAsia" w:cstheme="minorBidi"/>
          <w:smallCaps w:val="0"/>
          <w:szCs w:val="22"/>
        </w:rPr>
      </w:pPr>
      <w:r>
        <w:fldChar w:fldCharType="begin"/>
      </w:r>
      <w:r>
        <w:instrText xml:space="preserve"> HYPERLINK \l "_Toc502049581" </w:instrText>
      </w:r>
      <w:r>
        <w:fldChar w:fldCharType="separate"/>
      </w:r>
      <w:r>
        <w:rPr>
          <w:rStyle w:val="54"/>
        </w:rPr>
        <w:t>3.5</w:t>
      </w:r>
      <w:r>
        <w:rPr>
          <w:rStyle w:val="54"/>
          <w:rFonts w:hint="eastAsia"/>
        </w:rPr>
        <w:t>水土保持设施完成情况</w:t>
      </w:r>
      <w:r>
        <w:tab/>
      </w:r>
      <w:r>
        <w:fldChar w:fldCharType="begin"/>
      </w:r>
      <w:r>
        <w:instrText xml:space="preserve"> PAGEREF _Toc502049581 \h </w:instrText>
      </w:r>
      <w:r>
        <w:fldChar w:fldCharType="separate"/>
      </w:r>
      <w:r>
        <w:t>18</w:t>
      </w:r>
      <w:r>
        <w:fldChar w:fldCharType="end"/>
      </w:r>
      <w:r>
        <w:fldChar w:fldCharType="end"/>
      </w:r>
    </w:p>
    <w:p>
      <w:pPr>
        <w:pStyle w:val="37"/>
        <w:rPr>
          <w:rFonts w:eastAsiaTheme="minorEastAsia" w:cstheme="minorBidi"/>
          <w:smallCaps w:val="0"/>
          <w:szCs w:val="22"/>
        </w:rPr>
      </w:pPr>
      <w:r>
        <w:fldChar w:fldCharType="begin"/>
      </w:r>
      <w:r>
        <w:instrText xml:space="preserve"> HYPERLINK \l "_Toc502049582" </w:instrText>
      </w:r>
      <w:r>
        <w:fldChar w:fldCharType="separate"/>
      </w:r>
      <w:r>
        <w:rPr>
          <w:rStyle w:val="54"/>
        </w:rPr>
        <w:t>3.6</w:t>
      </w:r>
      <w:r>
        <w:rPr>
          <w:rStyle w:val="54"/>
          <w:rFonts w:hint="eastAsia"/>
        </w:rPr>
        <w:t>水土保持投资完成情况</w:t>
      </w:r>
      <w:r>
        <w:tab/>
      </w:r>
      <w:r>
        <w:fldChar w:fldCharType="begin"/>
      </w:r>
      <w:r>
        <w:instrText xml:space="preserve"> PAGEREF _Toc502049582 \h </w:instrText>
      </w:r>
      <w:r>
        <w:fldChar w:fldCharType="separate"/>
      </w:r>
      <w:r>
        <w:t>19</w:t>
      </w:r>
      <w:r>
        <w:fldChar w:fldCharType="end"/>
      </w:r>
      <w:r>
        <w:fldChar w:fldCharType="end"/>
      </w:r>
    </w:p>
    <w:p>
      <w:pPr>
        <w:pStyle w:val="30"/>
        <w:rPr>
          <w:rFonts w:asciiTheme="minorHAnsi" w:hAnsiTheme="minorHAnsi" w:cstheme="minorBidi"/>
          <w:b w:val="0"/>
          <w:bCs w:val="0"/>
          <w:caps w:val="0"/>
          <w:sz w:val="21"/>
          <w:szCs w:val="22"/>
        </w:rPr>
      </w:pPr>
      <w:r>
        <w:fldChar w:fldCharType="begin"/>
      </w:r>
      <w:r>
        <w:instrText xml:space="preserve"> HYPERLINK \l "_Toc502049583" </w:instrText>
      </w:r>
      <w:r>
        <w:fldChar w:fldCharType="separate"/>
      </w:r>
      <w:r>
        <w:rPr>
          <w:rStyle w:val="54"/>
        </w:rPr>
        <w:t>4</w:t>
      </w:r>
      <w:r>
        <w:rPr>
          <w:rStyle w:val="54"/>
          <w:rFonts w:hint="eastAsia"/>
        </w:rPr>
        <w:t>水土保持工程质量</w:t>
      </w:r>
      <w:r>
        <w:tab/>
      </w:r>
      <w:r>
        <w:fldChar w:fldCharType="begin"/>
      </w:r>
      <w:r>
        <w:instrText xml:space="preserve"> PAGEREF _Toc502049583 \h </w:instrText>
      </w:r>
      <w:r>
        <w:fldChar w:fldCharType="separate"/>
      </w:r>
      <w:r>
        <w:t>21</w:t>
      </w:r>
      <w:r>
        <w:fldChar w:fldCharType="end"/>
      </w:r>
      <w:r>
        <w:fldChar w:fldCharType="end"/>
      </w:r>
    </w:p>
    <w:p>
      <w:pPr>
        <w:pStyle w:val="37"/>
        <w:rPr>
          <w:rFonts w:eastAsiaTheme="minorEastAsia" w:cstheme="minorBidi"/>
          <w:smallCaps w:val="0"/>
          <w:szCs w:val="22"/>
        </w:rPr>
      </w:pPr>
      <w:r>
        <w:fldChar w:fldCharType="begin"/>
      </w:r>
      <w:r>
        <w:instrText xml:space="preserve"> HYPERLINK \l "_Toc502049584" </w:instrText>
      </w:r>
      <w:r>
        <w:fldChar w:fldCharType="separate"/>
      </w:r>
      <w:r>
        <w:rPr>
          <w:rStyle w:val="54"/>
        </w:rPr>
        <w:t>4.1</w:t>
      </w:r>
      <w:r>
        <w:rPr>
          <w:rStyle w:val="54"/>
          <w:rFonts w:hint="eastAsia"/>
        </w:rPr>
        <w:t>质量管理体系</w:t>
      </w:r>
      <w:r>
        <w:tab/>
      </w:r>
      <w:r>
        <w:fldChar w:fldCharType="begin"/>
      </w:r>
      <w:r>
        <w:instrText xml:space="preserve"> PAGEREF _Toc502049584 \h </w:instrText>
      </w:r>
      <w:r>
        <w:fldChar w:fldCharType="separate"/>
      </w:r>
      <w:r>
        <w:t>21</w:t>
      </w:r>
      <w:r>
        <w:fldChar w:fldCharType="end"/>
      </w:r>
      <w:r>
        <w:fldChar w:fldCharType="end"/>
      </w:r>
    </w:p>
    <w:p>
      <w:pPr>
        <w:pStyle w:val="37"/>
        <w:rPr>
          <w:rFonts w:eastAsiaTheme="minorEastAsia" w:cstheme="minorBidi"/>
          <w:smallCaps w:val="0"/>
          <w:szCs w:val="22"/>
        </w:rPr>
      </w:pPr>
      <w:r>
        <w:fldChar w:fldCharType="begin"/>
      </w:r>
      <w:r>
        <w:instrText xml:space="preserve"> HYPERLINK \l "_Toc502049585" </w:instrText>
      </w:r>
      <w:r>
        <w:fldChar w:fldCharType="separate"/>
      </w:r>
      <w:r>
        <w:rPr>
          <w:rStyle w:val="54"/>
        </w:rPr>
        <w:t>4.2</w:t>
      </w:r>
      <w:r>
        <w:rPr>
          <w:rStyle w:val="54"/>
          <w:rFonts w:hint="eastAsia"/>
        </w:rPr>
        <w:t>各防治分区水土保持工程质量评定</w:t>
      </w:r>
      <w:r>
        <w:tab/>
      </w:r>
      <w:r>
        <w:fldChar w:fldCharType="begin"/>
      </w:r>
      <w:r>
        <w:instrText xml:space="preserve"> PAGEREF _Toc502049585 \h </w:instrText>
      </w:r>
      <w:r>
        <w:fldChar w:fldCharType="separate"/>
      </w:r>
      <w:r>
        <w:t>23</w:t>
      </w:r>
      <w:r>
        <w:fldChar w:fldCharType="end"/>
      </w:r>
      <w:r>
        <w:fldChar w:fldCharType="end"/>
      </w:r>
    </w:p>
    <w:p>
      <w:pPr>
        <w:pStyle w:val="37"/>
        <w:rPr>
          <w:rFonts w:eastAsiaTheme="minorEastAsia" w:cstheme="minorBidi"/>
          <w:smallCaps w:val="0"/>
          <w:szCs w:val="22"/>
        </w:rPr>
      </w:pPr>
      <w:r>
        <w:fldChar w:fldCharType="begin"/>
      </w:r>
      <w:r>
        <w:instrText xml:space="preserve"> HYPERLINK \l "_Toc502049586" </w:instrText>
      </w:r>
      <w:r>
        <w:fldChar w:fldCharType="separate"/>
      </w:r>
      <w:r>
        <w:rPr>
          <w:rStyle w:val="54"/>
        </w:rPr>
        <w:t>4.3</w:t>
      </w:r>
      <w:r>
        <w:rPr>
          <w:rStyle w:val="54"/>
          <w:rFonts w:hint="eastAsia"/>
        </w:rPr>
        <w:t>总体质量评价</w:t>
      </w:r>
      <w:r>
        <w:tab/>
      </w:r>
      <w:r>
        <w:fldChar w:fldCharType="begin"/>
      </w:r>
      <w:r>
        <w:instrText xml:space="preserve"> PAGEREF _Toc502049586 \h </w:instrText>
      </w:r>
      <w:r>
        <w:fldChar w:fldCharType="separate"/>
      </w:r>
      <w:r>
        <w:t>24</w:t>
      </w:r>
      <w:r>
        <w:fldChar w:fldCharType="end"/>
      </w:r>
      <w:r>
        <w:fldChar w:fldCharType="end"/>
      </w:r>
    </w:p>
    <w:p>
      <w:pPr>
        <w:pStyle w:val="30"/>
        <w:rPr>
          <w:rFonts w:asciiTheme="minorHAnsi" w:hAnsiTheme="minorHAnsi" w:cstheme="minorBidi"/>
          <w:b w:val="0"/>
          <w:bCs w:val="0"/>
          <w:caps w:val="0"/>
          <w:sz w:val="21"/>
          <w:szCs w:val="22"/>
        </w:rPr>
      </w:pPr>
      <w:r>
        <w:fldChar w:fldCharType="begin"/>
      </w:r>
      <w:r>
        <w:instrText xml:space="preserve"> HYPERLINK \l "_Toc502049587" </w:instrText>
      </w:r>
      <w:r>
        <w:fldChar w:fldCharType="separate"/>
      </w:r>
      <w:r>
        <w:rPr>
          <w:rStyle w:val="54"/>
        </w:rPr>
        <w:t>5</w:t>
      </w:r>
      <w:r>
        <w:rPr>
          <w:rStyle w:val="54"/>
          <w:rFonts w:hint="eastAsia"/>
        </w:rPr>
        <w:t>项目初期运行及水土保持效果</w:t>
      </w:r>
      <w:r>
        <w:tab/>
      </w:r>
      <w:r>
        <w:fldChar w:fldCharType="begin"/>
      </w:r>
      <w:r>
        <w:instrText xml:space="preserve"> PAGEREF _Toc502049587 \h </w:instrText>
      </w:r>
      <w:r>
        <w:fldChar w:fldCharType="separate"/>
      </w:r>
      <w:r>
        <w:t>26</w:t>
      </w:r>
      <w:r>
        <w:fldChar w:fldCharType="end"/>
      </w:r>
      <w:r>
        <w:fldChar w:fldCharType="end"/>
      </w:r>
    </w:p>
    <w:p>
      <w:pPr>
        <w:pStyle w:val="37"/>
        <w:rPr>
          <w:rFonts w:eastAsiaTheme="minorEastAsia" w:cstheme="minorBidi"/>
          <w:smallCaps w:val="0"/>
          <w:szCs w:val="22"/>
        </w:rPr>
      </w:pPr>
      <w:r>
        <w:fldChar w:fldCharType="begin"/>
      </w:r>
      <w:r>
        <w:instrText xml:space="preserve"> HYPERLINK \l "_Toc502049588" </w:instrText>
      </w:r>
      <w:r>
        <w:fldChar w:fldCharType="separate"/>
      </w:r>
      <w:r>
        <w:rPr>
          <w:rStyle w:val="54"/>
        </w:rPr>
        <w:t>5.1</w:t>
      </w:r>
      <w:r>
        <w:rPr>
          <w:rStyle w:val="54"/>
          <w:rFonts w:hint="eastAsia"/>
        </w:rPr>
        <w:t>初期运行情况</w:t>
      </w:r>
      <w:r>
        <w:tab/>
      </w:r>
      <w:r>
        <w:fldChar w:fldCharType="begin"/>
      </w:r>
      <w:r>
        <w:instrText xml:space="preserve"> PAGEREF _Toc502049588 \h </w:instrText>
      </w:r>
      <w:r>
        <w:fldChar w:fldCharType="separate"/>
      </w:r>
      <w:r>
        <w:t>26</w:t>
      </w:r>
      <w:r>
        <w:fldChar w:fldCharType="end"/>
      </w:r>
      <w:r>
        <w:fldChar w:fldCharType="end"/>
      </w:r>
    </w:p>
    <w:p>
      <w:pPr>
        <w:pStyle w:val="37"/>
        <w:rPr>
          <w:rFonts w:eastAsiaTheme="minorEastAsia" w:cstheme="minorBidi"/>
          <w:smallCaps w:val="0"/>
          <w:szCs w:val="22"/>
        </w:rPr>
      </w:pPr>
      <w:r>
        <w:fldChar w:fldCharType="begin"/>
      </w:r>
      <w:r>
        <w:instrText xml:space="preserve"> HYPERLINK \l "_Toc502049589" </w:instrText>
      </w:r>
      <w:r>
        <w:fldChar w:fldCharType="separate"/>
      </w:r>
      <w:r>
        <w:rPr>
          <w:rStyle w:val="54"/>
        </w:rPr>
        <w:t>5.2</w:t>
      </w:r>
      <w:r>
        <w:rPr>
          <w:rStyle w:val="54"/>
          <w:rFonts w:hint="eastAsia"/>
        </w:rPr>
        <w:t>水土保持效果</w:t>
      </w:r>
      <w:r>
        <w:tab/>
      </w:r>
      <w:r>
        <w:fldChar w:fldCharType="begin"/>
      </w:r>
      <w:r>
        <w:instrText xml:space="preserve"> PAGEREF _Toc502049589 \h </w:instrText>
      </w:r>
      <w:r>
        <w:fldChar w:fldCharType="separate"/>
      </w:r>
      <w:r>
        <w:t>26</w:t>
      </w:r>
      <w:r>
        <w:fldChar w:fldCharType="end"/>
      </w:r>
      <w:r>
        <w:fldChar w:fldCharType="end"/>
      </w:r>
    </w:p>
    <w:p>
      <w:pPr>
        <w:pStyle w:val="37"/>
        <w:rPr>
          <w:rFonts w:eastAsiaTheme="minorEastAsia" w:cstheme="minorBidi"/>
          <w:smallCaps w:val="0"/>
          <w:szCs w:val="22"/>
        </w:rPr>
      </w:pPr>
      <w:r>
        <w:fldChar w:fldCharType="begin"/>
      </w:r>
      <w:r>
        <w:instrText xml:space="preserve"> HYPERLINK \l "_Toc502049590" </w:instrText>
      </w:r>
      <w:r>
        <w:fldChar w:fldCharType="separate"/>
      </w:r>
      <w:r>
        <w:rPr>
          <w:rStyle w:val="54"/>
        </w:rPr>
        <w:t>5.3</w:t>
      </w:r>
      <w:r>
        <w:rPr>
          <w:rStyle w:val="54"/>
          <w:rFonts w:hint="eastAsia"/>
        </w:rPr>
        <w:t>公众满意度调查</w:t>
      </w:r>
      <w:r>
        <w:tab/>
      </w:r>
      <w:r>
        <w:fldChar w:fldCharType="begin"/>
      </w:r>
      <w:r>
        <w:instrText xml:space="preserve"> PAGEREF _Toc502049590 \h </w:instrText>
      </w:r>
      <w:r>
        <w:fldChar w:fldCharType="separate"/>
      </w:r>
      <w:r>
        <w:t>28</w:t>
      </w:r>
      <w:r>
        <w:fldChar w:fldCharType="end"/>
      </w:r>
      <w:r>
        <w:fldChar w:fldCharType="end"/>
      </w:r>
    </w:p>
    <w:p>
      <w:pPr>
        <w:pStyle w:val="30"/>
        <w:rPr>
          <w:rFonts w:asciiTheme="minorHAnsi" w:hAnsiTheme="minorHAnsi" w:cstheme="minorBidi"/>
          <w:b w:val="0"/>
          <w:bCs w:val="0"/>
          <w:caps w:val="0"/>
          <w:sz w:val="21"/>
          <w:szCs w:val="22"/>
        </w:rPr>
      </w:pPr>
      <w:r>
        <w:fldChar w:fldCharType="begin"/>
      </w:r>
      <w:r>
        <w:instrText xml:space="preserve"> HYPERLINK \l "_Toc502049591" </w:instrText>
      </w:r>
      <w:r>
        <w:fldChar w:fldCharType="separate"/>
      </w:r>
      <w:r>
        <w:rPr>
          <w:rStyle w:val="54"/>
        </w:rPr>
        <w:t>6</w:t>
      </w:r>
      <w:r>
        <w:rPr>
          <w:rStyle w:val="54"/>
          <w:rFonts w:hint="eastAsia"/>
        </w:rPr>
        <w:t>水土保持管理</w:t>
      </w:r>
      <w:r>
        <w:tab/>
      </w:r>
      <w:r>
        <w:fldChar w:fldCharType="begin"/>
      </w:r>
      <w:r>
        <w:instrText xml:space="preserve"> PAGEREF _Toc502049591 \h </w:instrText>
      </w:r>
      <w:r>
        <w:fldChar w:fldCharType="separate"/>
      </w:r>
      <w:r>
        <w:t>29</w:t>
      </w:r>
      <w:r>
        <w:fldChar w:fldCharType="end"/>
      </w:r>
      <w:r>
        <w:fldChar w:fldCharType="end"/>
      </w:r>
    </w:p>
    <w:p>
      <w:pPr>
        <w:pStyle w:val="37"/>
        <w:rPr>
          <w:rFonts w:eastAsiaTheme="minorEastAsia" w:cstheme="minorBidi"/>
          <w:smallCaps w:val="0"/>
          <w:szCs w:val="22"/>
        </w:rPr>
      </w:pPr>
      <w:r>
        <w:fldChar w:fldCharType="begin"/>
      </w:r>
      <w:r>
        <w:instrText xml:space="preserve"> HYPERLINK \l "_Toc502049592" </w:instrText>
      </w:r>
      <w:r>
        <w:fldChar w:fldCharType="separate"/>
      </w:r>
      <w:r>
        <w:rPr>
          <w:rStyle w:val="54"/>
        </w:rPr>
        <w:t>6.1</w:t>
      </w:r>
      <w:r>
        <w:rPr>
          <w:rStyle w:val="54"/>
          <w:rFonts w:hint="eastAsia"/>
        </w:rPr>
        <w:t>组织领导</w:t>
      </w:r>
      <w:r>
        <w:tab/>
      </w:r>
      <w:r>
        <w:fldChar w:fldCharType="begin"/>
      </w:r>
      <w:r>
        <w:instrText xml:space="preserve"> PAGEREF _Toc502049592 \h </w:instrText>
      </w:r>
      <w:r>
        <w:fldChar w:fldCharType="separate"/>
      </w:r>
      <w:r>
        <w:t>29</w:t>
      </w:r>
      <w:r>
        <w:fldChar w:fldCharType="end"/>
      </w:r>
      <w:r>
        <w:fldChar w:fldCharType="end"/>
      </w:r>
    </w:p>
    <w:p>
      <w:pPr>
        <w:pStyle w:val="37"/>
        <w:rPr>
          <w:rFonts w:eastAsiaTheme="minorEastAsia" w:cstheme="minorBidi"/>
          <w:smallCaps w:val="0"/>
          <w:szCs w:val="22"/>
        </w:rPr>
      </w:pPr>
      <w:r>
        <w:fldChar w:fldCharType="begin"/>
      </w:r>
      <w:r>
        <w:instrText xml:space="preserve"> HYPERLINK \l "_Toc502049593" </w:instrText>
      </w:r>
      <w:r>
        <w:fldChar w:fldCharType="separate"/>
      </w:r>
      <w:r>
        <w:rPr>
          <w:rStyle w:val="54"/>
        </w:rPr>
        <w:t>6.2</w:t>
      </w:r>
      <w:r>
        <w:rPr>
          <w:rStyle w:val="54"/>
          <w:rFonts w:hint="eastAsia"/>
        </w:rPr>
        <w:t>规章制度</w:t>
      </w:r>
      <w:r>
        <w:tab/>
      </w:r>
      <w:r>
        <w:fldChar w:fldCharType="begin"/>
      </w:r>
      <w:r>
        <w:instrText xml:space="preserve"> PAGEREF _Toc502049593 \h </w:instrText>
      </w:r>
      <w:r>
        <w:fldChar w:fldCharType="separate"/>
      </w:r>
      <w:r>
        <w:t>29</w:t>
      </w:r>
      <w:r>
        <w:fldChar w:fldCharType="end"/>
      </w:r>
      <w:r>
        <w:fldChar w:fldCharType="end"/>
      </w:r>
    </w:p>
    <w:p>
      <w:pPr>
        <w:pStyle w:val="37"/>
        <w:rPr>
          <w:rFonts w:eastAsiaTheme="minorEastAsia" w:cstheme="minorBidi"/>
          <w:smallCaps w:val="0"/>
          <w:szCs w:val="22"/>
        </w:rPr>
      </w:pPr>
      <w:r>
        <w:fldChar w:fldCharType="begin"/>
      </w:r>
      <w:r>
        <w:instrText xml:space="preserve"> HYPERLINK \l "_Toc502049594" </w:instrText>
      </w:r>
      <w:r>
        <w:fldChar w:fldCharType="separate"/>
      </w:r>
      <w:r>
        <w:rPr>
          <w:rStyle w:val="54"/>
        </w:rPr>
        <w:t>6.3</w:t>
      </w:r>
      <w:r>
        <w:rPr>
          <w:rStyle w:val="54"/>
          <w:rFonts w:hint="eastAsia"/>
        </w:rPr>
        <w:t>建设管理</w:t>
      </w:r>
      <w:r>
        <w:tab/>
      </w:r>
      <w:r>
        <w:fldChar w:fldCharType="begin"/>
      </w:r>
      <w:r>
        <w:instrText xml:space="preserve"> PAGEREF _Toc502049594 \h </w:instrText>
      </w:r>
      <w:r>
        <w:fldChar w:fldCharType="separate"/>
      </w:r>
      <w:r>
        <w:t>29</w:t>
      </w:r>
      <w:r>
        <w:fldChar w:fldCharType="end"/>
      </w:r>
      <w:r>
        <w:fldChar w:fldCharType="end"/>
      </w:r>
    </w:p>
    <w:p>
      <w:pPr>
        <w:pStyle w:val="37"/>
        <w:rPr>
          <w:rFonts w:eastAsiaTheme="minorEastAsia" w:cstheme="minorBidi"/>
          <w:smallCaps w:val="0"/>
          <w:szCs w:val="22"/>
        </w:rPr>
      </w:pPr>
      <w:r>
        <w:fldChar w:fldCharType="begin"/>
      </w:r>
      <w:r>
        <w:instrText xml:space="preserve"> HYPERLINK \l "_Toc502049595" </w:instrText>
      </w:r>
      <w:r>
        <w:fldChar w:fldCharType="separate"/>
      </w:r>
      <w:r>
        <w:rPr>
          <w:rStyle w:val="54"/>
        </w:rPr>
        <w:t>6.4</w:t>
      </w:r>
      <w:r>
        <w:rPr>
          <w:rStyle w:val="54"/>
          <w:rFonts w:hint="eastAsia"/>
        </w:rPr>
        <w:t>水土保持监测</w:t>
      </w:r>
      <w:r>
        <w:tab/>
      </w:r>
      <w:r>
        <w:fldChar w:fldCharType="begin"/>
      </w:r>
      <w:r>
        <w:instrText xml:space="preserve"> PAGEREF _Toc502049595 \h </w:instrText>
      </w:r>
      <w:r>
        <w:fldChar w:fldCharType="separate"/>
      </w:r>
      <w:r>
        <w:t>30</w:t>
      </w:r>
      <w:r>
        <w:fldChar w:fldCharType="end"/>
      </w:r>
      <w:r>
        <w:fldChar w:fldCharType="end"/>
      </w:r>
    </w:p>
    <w:p>
      <w:pPr>
        <w:pStyle w:val="37"/>
        <w:rPr>
          <w:rFonts w:eastAsiaTheme="minorEastAsia" w:cstheme="minorBidi"/>
          <w:smallCaps w:val="0"/>
          <w:szCs w:val="22"/>
        </w:rPr>
      </w:pPr>
      <w:r>
        <w:fldChar w:fldCharType="begin"/>
      </w:r>
      <w:r>
        <w:instrText xml:space="preserve"> HYPERLINK \l "_Toc502049596" </w:instrText>
      </w:r>
      <w:r>
        <w:fldChar w:fldCharType="separate"/>
      </w:r>
      <w:r>
        <w:rPr>
          <w:rStyle w:val="54"/>
        </w:rPr>
        <w:t>6.5</w:t>
      </w:r>
      <w:r>
        <w:rPr>
          <w:rStyle w:val="54"/>
          <w:rFonts w:hint="eastAsia"/>
        </w:rPr>
        <w:t>水土保持监理</w:t>
      </w:r>
      <w:r>
        <w:tab/>
      </w:r>
      <w:r>
        <w:fldChar w:fldCharType="begin"/>
      </w:r>
      <w:r>
        <w:instrText xml:space="preserve"> PAGEREF _Toc502049596 \h </w:instrText>
      </w:r>
      <w:r>
        <w:fldChar w:fldCharType="separate"/>
      </w:r>
      <w:r>
        <w:t>31</w:t>
      </w:r>
      <w:r>
        <w:fldChar w:fldCharType="end"/>
      </w:r>
      <w:r>
        <w:fldChar w:fldCharType="end"/>
      </w:r>
    </w:p>
    <w:p>
      <w:pPr>
        <w:pStyle w:val="37"/>
        <w:rPr>
          <w:rFonts w:eastAsiaTheme="minorEastAsia" w:cstheme="minorBidi"/>
          <w:smallCaps w:val="0"/>
          <w:szCs w:val="22"/>
        </w:rPr>
      </w:pPr>
      <w:r>
        <w:fldChar w:fldCharType="begin"/>
      </w:r>
      <w:r>
        <w:instrText xml:space="preserve"> HYPERLINK \l "_Toc502049597" </w:instrText>
      </w:r>
      <w:r>
        <w:fldChar w:fldCharType="separate"/>
      </w:r>
      <w:r>
        <w:rPr>
          <w:rStyle w:val="54"/>
        </w:rPr>
        <w:t>6.6</w:t>
      </w:r>
      <w:r>
        <w:rPr>
          <w:rStyle w:val="54"/>
          <w:rFonts w:hint="eastAsia"/>
        </w:rPr>
        <w:t>水行政主管部门监督检查意见落实情况</w:t>
      </w:r>
      <w:r>
        <w:tab/>
      </w:r>
      <w:r>
        <w:fldChar w:fldCharType="begin"/>
      </w:r>
      <w:r>
        <w:instrText xml:space="preserve"> PAGEREF _Toc502049597 \h </w:instrText>
      </w:r>
      <w:r>
        <w:fldChar w:fldCharType="separate"/>
      </w:r>
      <w:r>
        <w:t>33</w:t>
      </w:r>
      <w:r>
        <w:fldChar w:fldCharType="end"/>
      </w:r>
      <w:r>
        <w:fldChar w:fldCharType="end"/>
      </w:r>
    </w:p>
    <w:p>
      <w:pPr>
        <w:pStyle w:val="37"/>
        <w:rPr>
          <w:rFonts w:eastAsiaTheme="minorEastAsia" w:cstheme="minorBidi"/>
          <w:smallCaps w:val="0"/>
          <w:szCs w:val="22"/>
        </w:rPr>
      </w:pPr>
      <w:r>
        <w:fldChar w:fldCharType="begin"/>
      </w:r>
      <w:r>
        <w:instrText xml:space="preserve"> HYPERLINK \l "_Toc502049598" </w:instrText>
      </w:r>
      <w:r>
        <w:fldChar w:fldCharType="separate"/>
      </w:r>
      <w:r>
        <w:rPr>
          <w:rStyle w:val="54"/>
        </w:rPr>
        <w:t>6.7</w:t>
      </w:r>
      <w:r>
        <w:rPr>
          <w:rStyle w:val="54"/>
          <w:rFonts w:hint="eastAsia"/>
        </w:rPr>
        <w:t>水土保持补偿费缴纳情况</w:t>
      </w:r>
      <w:r>
        <w:tab/>
      </w:r>
      <w:r>
        <w:fldChar w:fldCharType="begin"/>
      </w:r>
      <w:r>
        <w:instrText xml:space="preserve"> PAGEREF _Toc502049598 \h </w:instrText>
      </w:r>
      <w:r>
        <w:fldChar w:fldCharType="separate"/>
      </w:r>
      <w:r>
        <w:t>34</w:t>
      </w:r>
      <w:r>
        <w:fldChar w:fldCharType="end"/>
      </w:r>
      <w:r>
        <w:fldChar w:fldCharType="end"/>
      </w:r>
    </w:p>
    <w:p>
      <w:pPr>
        <w:pStyle w:val="37"/>
        <w:rPr>
          <w:rFonts w:eastAsiaTheme="minorEastAsia" w:cstheme="minorBidi"/>
          <w:smallCaps w:val="0"/>
          <w:szCs w:val="22"/>
        </w:rPr>
      </w:pPr>
      <w:r>
        <w:fldChar w:fldCharType="begin"/>
      </w:r>
      <w:r>
        <w:instrText xml:space="preserve"> HYPERLINK \l "_Toc502049599" </w:instrText>
      </w:r>
      <w:r>
        <w:fldChar w:fldCharType="separate"/>
      </w:r>
      <w:r>
        <w:rPr>
          <w:rStyle w:val="54"/>
        </w:rPr>
        <w:t>6.8</w:t>
      </w:r>
      <w:r>
        <w:rPr>
          <w:rStyle w:val="54"/>
          <w:rFonts w:hint="eastAsia"/>
        </w:rPr>
        <w:t>水土保持设施管理维护</w:t>
      </w:r>
      <w:r>
        <w:tab/>
      </w:r>
      <w:r>
        <w:fldChar w:fldCharType="begin"/>
      </w:r>
      <w:r>
        <w:instrText xml:space="preserve"> PAGEREF _Toc502049599 \h </w:instrText>
      </w:r>
      <w:r>
        <w:fldChar w:fldCharType="separate"/>
      </w:r>
      <w:r>
        <w:t>34</w:t>
      </w:r>
      <w:r>
        <w:fldChar w:fldCharType="end"/>
      </w:r>
      <w:r>
        <w:fldChar w:fldCharType="end"/>
      </w:r>
    </w:p>
    <w:p>
      <w:pPr>
        <w:pStyle w:val="30"/>
        <w:rPr>
          <w:rFonts w:asciiTheme="minorHAnsi" w:hAnsiTheme="minorHAnsi" w:cstheme="minorBidi"/>
          <w:b w:val="0"/>
          <w:bCs w:val="0"/>
          <w:caps w:val="0"/>
          <w:sz w:val="21"/>
          <w:szCs w:val="22"/>
        </w:rPr>
      </w:pPr>
      <w:r>
        <w:fldChar w:fldCharType="begin"/>
      </w:r>
      <w:r>
        <w:instrText xml:space="preserve"> HYPERLINK \l "_Toc502049600" </w:instrText>
      </w:r>
      <w:r>
        <w:fldChar w:fldCharType="separate"/>
      </w:r>
      <w:r>
        <w:rPr>
          <w:rStyle w:val="54"/>
        </w:rPr>
        <w:t>7</w:t>
      </w:r>
      <w:r>
        <w:rPr>
          <w:rStyle w:val="54"/>
          <w:rFonts w:hint="eastAsia"/>
        </w:rPr>
        <w:t>结论</w:t>
      </w:r>
      <w:r>
        <w:tab/>
      </w:r>
      <w:r>
        <w:fldChar w:fldCharType="begin"/>
      </w:r>
      <w:r>
        <w:instrText xml:space="preserve"> PAGEREF _Toc502049600 \h </w:instrText>
      </w:r>
      <w:r>
        <w:fldChar w:fldCharType="separate"/>
      </w:r>
      <w:r>
        <w:t>35</w:t>
      </w:r>
      <w:r>
        <w:fldChar w:fldCharType="end"/>
      </w:r>
      <w:r>
        <w:fldChar w:fldCharType="end"/>
      </w:r>
    </w:p>
    <w:p>
      <w:pPr>
        <w:pStyle w:val="37"/>
        <w:rPr>
          <w:rFonts w:eastAsiaTheme="minorEastAsia" w:cstheme="minorBidi"/>
          <w:smallCaps w:val="0"/>
          <w:szCs w:val="22"/>
        </w:rPr>
      </w:pPr>
      <w:r>
        <w:fldChar w:fldCharType="begin"/>
      </w:r>
      <w:r>
        <w:instrText xml:space="preserve"> HYPERLINK \l "_Toc502049601" </w:instrText>
      </w:r>
      <w:r>
        <w:fldChar w:fldCharType="separate"/>
      </w:r>
      <w:r>
        <w:rPr>
          <w:rStyle w:val="54"/>
        </w:rPr>
        <w:t>7.1</w:t>
      </w:r>
      <w:r>
        <w:rPr>
          <w:rStyle w:val="54"/>
          <w:rFonts w:hint="eastAsia"/>
        </w:rPr>
        <w:t>结论</w:t>
      </w:r>
      <w:r>
        <w:tab/>
      </w:r>
      <w:r>
        <w:fldChar w:fldCharType="begin"/>
      </w:r>
      <w:r>
        <w:instrText xml:space="preserve"> PAGEREF _Toc502049601 \h </w:instrText>
      </w:r>
      <w:r>
        <w:fldChar w:fldCharType="separate"/>
      </w:r>
      <w:r>
        <w:t>35</w:t>
      </w:r>
      <w:r>
        <w:fldChar w:fldCharType="end"/>
      </w:r>
      <w:r>
        <w:fldChar w:fldCharType="end"/>
      </w:r>
    </w:p>
    <w:p>
      <w:pPr>
        <w:pStyle w:val="37"/>
        <w:rPr>
          <w:rFonts w:eastAsiaTheme="minorEastAsia" w:cstheme="minorBidi"/>
          <w:smallCaps w:val="0"/>
          <w:szCs w:val="22"/>
        </w:rPr>
      </w:pPr>
      <w:r>
        <w:fldChar w:fldCharType="begin"/>
      </w:r>
      <w:r>
        <w:instrText xml:space="preserve"> HYPERLINK \l "_Toc502049602" </w:instrText>
      </w:r>
      <w:r>
        <w:fldChar w:fldCharType="separate"/>
      </w:r>
      <w:r>
        <w:rPr>
          <w:rStyle w:val="54"/>
        </w:rPr>
        <w:t>7.2</w:t>
      </w:r>
      <w:r>
        <w:rPr>
          <w:rStyle w:val="54"/>
          <w:rFonts w:hint="eastAsia"/>
        </w:rPr>
        <w:t>遗留问题安排</w:t>
      </w:r>
      <w:r>
        <w:tab/>
      </w:r>
      <w:r>
        <w:fldChar w:fldCharType="begin"/>
      </w:r>
      <w:r>
        <w:instrText xml:space="preserve"> PAGEREF _Toc502049602 \h </w:instrText>
      </w:r>
      <w:r>
        <w:fldChar w:fldCharType="separate"/>
      </w:r>
      <w:r>
        <w:t>36</w:t>
      </w:r>
      <w:r>
        <w:fldChar w:fldCharType="end"/>
      </w:r>
      <w:r>
        <w:fldChar w:fldCharType="end"/>
      </w:r>
    </w:p>
    <w:p>
      <w:pPr>
        <w:topLinePunct/>
        <w:snapToGrid w:val="0"/>
        <w:spacing w:line="400" w:lineRule="exact"/>
        <w:rPr>
          <w:b/>
          <w:caps/>
          <w:sz w:val="24"/>
        </w:rPr>
        <w:sectPr>
          <w:headerReference r:id="rId7" w:type="first"/>
          <w:pgSz w:w="11906" w:h="16838"/>
          <w:pgMar w:top="1440" w:right="1440" w:bottom="1440" w:left="1701" w:header="851" w:footer="964" w:gutter="0"/>
          <w:pgNumType w:start="0"/>
          <w:cols w:space="425" w:num="1"/>
          <w:titlePg/>
          <w:docGrid w:linePitch="312" w:charSpace="0"/>
        </w:sectPr>
      </w:pPr>
      <w:r>
        <w:rPr>
          <w:rFonts w:asciiTheme="minorEastAsia" w:hAnsiTheme="minorEastAsia" w:eastAsiaTheme="minorEastAsia"/>
          <w:bCs/>
          <w:color w:val="FF0000"/>
          <w:sz w:val="24"/>
        </w:rPr>
        <w:fldChar w:fldCharType="end"/>
      </w:r>
      <w:r>
        <w:rPr>
          <w:rFonts w:hint="eastAsia" w:hAnsi="宋体"/>
          <w:b/>
          <w:caps/>
          <w:sz w:val="24"/>
        </w:rPr>
        <w:t>有关</w:t>
      </w:r>
      <w:r>
        <w:rPr>
          <w:rFonts w:hAnsi="宋体"/>
          <w:b/>
          <w:caps/>
          <w:sz w:val="24"/>
        </w:rPr>
        <w:t>资料及附件</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rFonts w:hint="default" w:ascii="Times New Roman" w:hAnsi="Times New Roman" w:cs="Times New Roman"/>
        </w:rPr>
      </w:pPr>
      <w:bookmarkStart w:id="16" w:name="_Toc502049567"/>
      <w:bookmarkStart w:id="17" w:name="_Toc434151761"/>
      <w:bookmarkStart w:id="18" w:name="_Toc370931870"/>
      <w:bookmarkStart w:id="77" w:name="_GoBack"/>
      <w:bookmarkEnd w:id="77"/>
      <w:r>
        <w:rPr>
          <w:rFonts w:hint="default" w:ascii="Times New Roman" w:hAnsi="Times New Roman" w:cs="Times New Roman"/>
        </w:rPr>
        <w:t>前言</w:t>
      </w:r>
      <w:bookmarkEnd w:id="16"/>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kern w:val="2"/>
          <w:sz w:val="24"/>
          <w:szCs w:val="28"/>
          <w:lang w:val="en-US" w:eastAsia="zh-CN" w:bidi="ar-SA"/>
        </w:rPr>
      </w:pPr>
      <w:r>
        <w:rPr>
          <w:rFonts w:hint="default" w:ascii="Times New Roman" w:hAnsi="Times New Roman" w:cs="Times New Roman" w:eastAsiaTheme="minorEastAsia"/>
          <w:kern w:val="2"/>
          <w:sz w:val="24"/>
          <w:szCs w:val="28"/>
          <w:lang w:val="en-US" w:eastAsia="zh-CN" w:bidi="ar-SA"/>
        </w:rPr>
        <w:t>1、解决拆迁安置问题，推进四川泸州经济开发区建设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kern w:val="2"/>
          <w:sz w:val="24"/>
          <w:szCs w:val="28"/>
          <w:lang w:val="en-US" w:eastAsia="zh-CN" w:bidi="ar-SA"/>
        </w:rPr>
      </w:pPr>
      <w:r>
        <w:rPr>
          <w:rFonts w:hint="default" w:ascii="Times New Roman" w:hAnsi="Times New Roman" w:cs="Times New Roman" w:eastAsiaTheme="minorEastAsia"/>
          <w:kern w:val="2"/>
          <w:sz w:val="24"/>
          <w:szCs w:val="28"/>
          <w:lang w:val="en-US" w:eastAsia="zh-CN" w:bidi="ar-SA"/>
        </w:rPr>
        <w:t>泸州市江阳区蓝田街道重湾（干坝子）安置房建设工程的建设，不仅能解决拆迁户及拆迁后住户的住房安置问题，还能进一步完善开发区的基础设施，是构建社会主义和谐社会的体现。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kern w:val="2"/>
          <w:sz w:val="24"/>
          <w:szCs w:val="28"/>
          <w:lang w:val="en-US" w:eastAsia="zh-CN" w:bidi="ar-SA"/>
        </w:rPr>
      </w:pPr>
      <w:r>
        <w:rPr>
          <w:rFonts w:hint="default" w:ascii="Times New Roman" w:hAnsi="Times New Roman" w:cs="Times New Roman" w:eastAsiaTheme="minorEastAsia"/>
          <w:kern w:val="2"/>
          <w:sz w:val="24"/>
          <w:szCs w:val="28"/>
          <w:lang w:val="en-US" w:eastAsia="zh-CN" w:bidi="ar-SA"/>
        </w:rPr>
        <w:t>2、有利于统一规划、集中修建，合理规划土地，提高土地利用率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kern w:val="2"/>
          <w:sz w:val="24"/>
          <w:szCs w:val="28"/>
          <w:lang w:val="en-US" w:eastAsia="zh-CN" w:bidi="ar-SA"/>
        </w:rPr>
      </w:pPr>
      <w:r>
        <w:rPr>
          <w:rFonts w:hint="default" w:ascii="Times New Roman" w:hAnsi="Times New Roman" w:cs="Times New Roman" w:eastAsiaTheme="minorEastAsia"/>
          <w:kern w:val="2"/>
          <w:sz w:val="24"/>
          <w:szCs w:val="28"/>
          <w:lang w:val="en-US" w:eastAsia="zh-CN" w:bidi="ar-SA"/>
        </w:rPr>
        <w:t>目前拆迁区域现状住宅主要以散乱住宅为主，公共设施较为分散，布局极不合理，土地利用率低，造成土地资源的浪费，严重制约了地域经济的发展。通过区域开发与整合，进行合理的布局规划，将拆迁群众集中安置，调整土地使用结构，可以拉动周边地区经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kern w:val="2"/>
          <w:sz w:val="24"/>
          <w:szCs w:val="28"/>
          <w:lang w:val="en-US" w:eastAsia="zh-CN" w:bidi="ar-SA"/>
        </w:rPr>
      </w:pPr>
      <w:r>
        <w:rPr>
          <w:rFonts w:hint="default" w:ascii="Times New Roman" w:hAnsi="Times New Roman" w:cs="Times New Roman" w:eastAsiaTheme="minorEastAsia"/>
          <w:kern w:val="2"/>
          <w:sz w:val="24"/>
          <w:szCs w:val="28"/>
          <w:lang w:val="en-US" w:eastAsia="zh-CN" w:bidi="ar-SA"/>
        </w:rPr>
        <w:t>3、维护社会稳定的需要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kern w:val="2"/>
          <w:sz w:val="24"/>
          <w:szCs w:val="28"/>
          <w:lang w:val="en-US" w:eastAsia="zh-CN" w:bidi="ar-SA"/>
        </w:rPr>
      </w:pPr>
      <w:r>
        <w:rPr>
          <w:rFonts w:hint="default" w:ascii="Times New Roman" w:hAnsi="Times New Roman" w:cs="Times New Roman" w:eastAsiaTheme="minorEastAsia"/>
          <w:kern w:val="2"/>
          <w:sz w:val="24"/>
          <w:szCs w:val="28"/>
          <w:lang w:val="en-US" w:eastAsia="zh-CN" w:bidi="ar-SA"/>
        </w:rPr>
        <w:t>拆迁安置工作不仅关系到城市建设是否顺利进行和城市是否可持续发展的问题，而且还涉及低收入家庭的切身利益和社会的稳定问题。对此，泸州市市政府及江阳区区政府对拆迁安置工作给予高度重视，将安置房管理工作纳入重要议事日程，全市安置房工作已纳入法制化、规范化、科学化及管理有序的运行轨道。</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kern w:val="2"/>
          <w:sz w:val="24"/>
          <w:szCs w:val="28"/>
          <w:lang w:val="en-US" w:eastAsia="zh-CN" w:bidi="ar-SA"/>
        </w:rPr>
      </w:pPr>
      <w:r>
        <w:rPr>
          <w:rFonts w:hint="default" w:ascii="Times New Roman" w:hAnsi="Times New Roman" w:cs="Times New Roman" w:eastAsiaTheme="minorEastAsia"/>
          <w:kern w:val="2"/>
          <w:sz w:val="24"/>
          <w:szCs w:val="28"/>
          <w:lang w:val="en-US" w:eastAsia="zh-CN" w:bidi="ar-SA"/>
        </w:rPr>
        <w:t>近年来，四川泸州经济开发区快速发展，开发区不断加快拆迁安置房建设步伐，但仍存在安置房的建设速度跟不上拆迁户要求改善住房条件的现象，建成并投入使用的安置房还不能完全满足拆迁户的要求，在一定程度上影响了社会安定。为此泸州市政府、江阳区政府极力加快拆迁安置房建设进度，进一步创新和发展拆迁安置房建设模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kern w:val="2"/>
          <w:sz w:val="24"/>
          <w:szCs w:val="28"/>
          <w:lang w:val="en-US" w:eastAsia="zh-CN" w:bidi="ar-SA"/>
        </w:rPr>
      </w:pPr>
      <w:r>
        <w:rPr>
          <w:rFonts w:hint="default" w:ascii="Times New Roman" w:hAnsi="Times New Roman" w:cs="Times New Roman" w:eastAsiaTheme="minorEastAsia"/>
          <w:kern w:val="2"/>
          <w:sz w:val="24"/>
          <w:szCs w:val="28"/>
          <w:lang w:val="en-US" w:eastAsia="zh-CN" w:bidi="ar-SA"/>
        </w:rPr>
        <w:t>4、以民为本、造福于民的体现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kern w:val="2"/>
          <w:sz w:val="24"/>
          <w:szCs w:val="28"/>
          <w:lang w:val="en-US" w:eastAsia="zh-CN" w:bidi="ar-SA"/>
        </w:rPr>
      </w:pPr>
      <w:r>
        <w:rPr>
          <w:rFonts w:hint="default" w:ascii="Times New Roman" w:hAnsi="Times New Roman" w:cs="Times New Roman" w:eastAsiaTheme="minorEastAsia"/>
          <w:kern w:val="2"/>
          <w:sz w:val="24"/>
          <w:szCs w:val="28"/>
          <w:lang w:val="en-US" w:eastAsia="zh-CN" w:bidi="ar-SA"/>
        </w:rPr>
        <w:t>对于人民群众来说，安置房的建设一方面将优化发展环境，提供越来越多的就业机会；另一方面，新的安置房小区建设将极大地改善被拆迁住户的居住条件和生活质量，因经济发展而建设的安置房取得的发展成果必将在最大范围、最大程度上惠及百姓。</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kern w:val="2"/>
          <w:sz w:val="24"/>
          <w:szCs w:val="28"/>
          <w:lang w:val="en-US" w:eastAsia="zh-CN" w:bidi="ar-SA"/>
        </w:rPr>
      </w:pPr>
      <w:r>
        <w:rPr>
          <w:rFonts w:hint="default" w:ascii="Times New Roman" w:hAnsi="Times New Roman" w:cs="Times New Roman" w:eastAsiaTheme="minorEastAsia"/>
          <w:kern w:val="2"/>
          <w:sz w:val="24"/>
          <w:szCs w:val="28"/>
          <w:lang w:val="en-US" w:eastAsia="zh-CN" w:bidi="ar-SA"/>
        </w:rPr>
        <w:t>具体到本项目的建设，还将充分利用城市周边环境资源，营造一个环境优美、建筑典雅、商住相宜、管理便捷的现代化的高品质住宅小区，并体现本安居小区“亲、善、美”的和谐宗旨。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kern w:val="2"/>
          <w:sz w:val="24"/>
          <w:szCs w:val="28"/>
          <w:lang w:val="en-US" w:eastAsia="zh-CN" w:bidi="ar-SA"/>
        </w:rPr>
      </w:pPr>
      <w:r>
        <w:rPr>
          <w:rFonts w:hint="default" w:ascii="Times New Roman" w:hAnsi="Times New Roman" w:cs="Times New Roman" w:eastAsiaTheme="minorEastAsia"/>
          <w:kern w:val="2"/>
          <w:sz w:val="24"/>
          <w:szCs w:val="28"/>
          <w:lang w:val="en-US" w:eastAsia="zh-CN" w:bidi="ar-SA"/>
        </w:rPr>
        <w:t>泸州鑫盛轻工发展有限公司蓝田街道重湾（干坝子）安置房建设工程位于江阳区蓝田街道重湾（干坝子），周边基础设施完善，交通便捷。本项目总占地面积共 1.34 公顷（13343.0m 2 ），新建400套安置房，含门市、物业用房及相关附属设施，用地全部属于永久用地。建设性质为新建。项目于2015年9月开工， 2017年8月完工，总工期共24个月</w:t>
      </w:r>
      <w:r>
        <w:rPr>
          <w:rFonts w:hint="default" w:ascii="Times New Roman" w:hAnsi="Times New Roman" w:cs="Times New Roman" w:eastAsiaTheme="minorEastAsia"/>
          <w:color w:val="auto"/>
          <w:kern w:val="2"/>
          <w:sz w:val="24"/>
          <w:szCs w:val="28"/>
          <w:lang w:val="en-US" w:eastAsia="zh-CN" w:bidi="ar-SA"/>
        </w:rPr>
        <w:t>，本次水土保持验收范围确定为项目主体建筑区、道路广场区及景观绿化区的防治责任范围，不包含弃渣场区。项</w:t>
      </w:r>
      <w:r>
        <w:rPr>
          <w:rFonts w:hint="default" w:ascii="Times New Roman" w:hAnsi="Times New Roman" w:cs="Times New Roman" w:eastAsiaTheme="minorEastAsia"/>
          <w:kern w:val="2"/>
          <w:sz w:val="24"/>
          <w:szCs w:val="28"/>
          <w:lang w:val="en-US" w:eastAsia="zh-CN" w:bidi="ar-SA"/>
        </w:rPr>
        <w:t>目投资总投资1.2亿元。本次水土保持设施验收范围占地面积为1.34hm</w:t>
      </w:r>
      <w:r>
        <w:rPr>
          <w:rFonts w:hint="default" w:ascii="Times New Roman" w:hAnsi="Times New Roman" w:cs="Times New Roman" w:eastAsiaTheme="minorEastAsia"/>
          <w:kern w:val="2"/>
          <w:sz w:val="24"/>
          <w:szCs w:val="28"/>
          <w:vertAlign w:val="superscript"/>
          <w:lang w:val="en-US" w:eastAsia="zh-CN" w:bidi="ar-SA"/>
        </w:rPr>
        <w:t>2</w:t>
      </w:r>
      <w:r>
        <w:rPr>
          <w:rFonts w:hint="default" w:ascii="Times New Roman" w:hAnsi="Times New Roman" w:cs="Times New Roman" w:eastAsiaTheme="minorEastAsia"/>
          <w:kern w:val="2"/>
          <w:sz w:val="24"/>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color w:val="auto"/>
          <w:kern w:val="2"/>
          <w:sz w:val="24"/>
          <w:szCs w:val="28"/>
          <w:lang w:val="en-US" w:eastAsia="zh-CN" w:bidi="ar-SA"/>
        </w:rPr>
      </w:pPr>
      <w:r>
        <w:rPr>
          <w:rFonts w:hint="default" w:ascii="Times New Roman" w:hAnsi="Times New Roman" w:cs="Times New Roman" w:eastAsiaTheme="minorEastAsia"/>
          <w:color w:val="auto"/>
          <w:kern w:val="2"/>
          <w:sz w:val="24"/>
          <w:szCs w:val="28"/>
          <w:lang w:val="en-US" w:eastAsia="zh-CN" w:bidi="ar-SA"/>
        </w:rPr>
        <w:t>2015年4月，泸州鑫盛轻工发展有限公司委托四川金原工程勘察设计有限公司开展本项目水土保持方案报告书编制工作。经过深入现场调查，收集工程区自然、社会以及水域流失等基础资料，结合工程布局，对工程永久占地及影响范围内的地形、地貌、植被、土地利用等自然状况、工程区水土流失和治理现状等进行调查。通过分析工程建设中对地表的占压、扰动情况，按照分区防治的原则，对工程建设可能造成的水土流失进行了分区防治设计，于2015年4月编制完成《泸州市江阳区蓝田街道重湾（干坝子）安置房建设工程水土保持方案报告书（送审稿）》。</w:t>
      </w:r>
    </w:p>
    <w:p>
      <w:pPr>
        <w:pStyle w:val="440"/>
        <w:ind w:firstLine="480"/>
        <w:rPr>
          <w:rFonts w:hint="default" w:ascii="Times New Roman" w:hAnsi="Times New Roman" w:cs="Times New Roman"/>
          <w:color w:val="auto"/>
        </w:rPr>
      </w:pPr>
      <w:r>
        <w:rPr>
          <w:rFonts w:hint="default" w:ascii="Times New Roman" w:hAnsi="Times New Roman" w:cs="Times New Roman"/>
          <w:color w:val="auto"/>
        </w:rPr>
        <w:t>20</w:t>
      </w:r>
      <w:r>
        <w:rPr>
          <w:rFonts w:hint="default" w:ascii="Times New Roman" w:hAnsi="Times New Roman" w:cs="Times New Roman"/>
          <w:color w:val="auto"/>
          <w:lang w:val="en-US" w:eastAsia="zh-CN"/>
        </w:rPr>
        <w:t>1</w:t>
      </w:r>
      <w:r>
        <w:rPr>
          <w:rFonts w:hint="default" w:ascii="Times New Roman" w:hAnsi="Times New Roman" w:cs="Times New Roman"/>
          <w:color w:val="auto"/>
        </w:rPr>
        <w:t>5年</w:t>
      </w:r>
      <w:r>
        <w:rPr>
          <w:rFonts w:hint="default" w:ascii="Times New Roman" w:hAnsi="Times New Roman" w:cs="Times New Roman"/>
          <w:color w:val="auto"/>
          <w:lang w:val="en-US" w:eastAsia="zh-CN"/>
        </w:rPr>
        <w:t>5</w:t>
      </w:r>
      <w:r>
        <w:rPr>
          <w:rFonts w:hint="default" w:ascii="Times New Roman" w:hAnsi="Times New Roman" w:cs="Times New Roman"/>
          <w:color w:val="auto"/>
        </w:rPr>
        <w:t>月，</w:t>
      </w:r>
      <w:r>
        <w:rPr>
          <w:rFonts w:hint="default" w:ascii="Times New Roman" w:hAnsi="Times New Roman" w:cs="Times New Roman"/>
          <w:color w:val="auto"/>
          <w:lang w:val="en-US" w:eastAsia="zh-CN"/>
        </w:rPr>
        <w:t>泸州市</w:t>
      </w:r>
      <w:r>
        <w:rPr>
          <w:rFonts w:hint="default" w:ascii="Times New Roman" w:hAnsi="Times New Roman" w:cs="Times New Roman"/>
          <w:color w:val="auto"/>
        </w:rPr>
        <w:t>水土保持委员会办公室文件主持召开《</w:t>
      </w:r>
      <w:r>
        <w:rPr>
          <w:rFonts w:hint="default" w:ascii="Times New Roman" w:hAnsi="Times New Roman" w:cs="Times New Roman" w:eastAsiaTheme="minorEastAsia"/>
          <w:color w:val="auto"/>
          <w:kern w:val="2"/>
          <w:sz w:val="24"/>
          <w:szCs w:val="28"/>
          <w:lang w:val="en-US" w:eastAsia="zh-CN" w:bidi="ar-SA"/>
        </w:rPr>
        <w:t>泸州市江阳区蓝田街道重湾（干坝子）安置房建设工程</w:t>
      </w:r>
      <w:r>
        <w:rPr>
          <w:rFonts w:hint="default" w:ascii="Times New Roman" w:hAnsi="Times New Roman" w:cs="Times New Roman"/>
          <w:color w:val="auto"/>
        </w:rPr>
        <w:t>水土保持方案报告书</w:t>
      </w:r>
      <w:r>
        <w:rPr>
          <w:rFonts w:hint="default" w:ascii="Times New Roman" w:hAnsi="Times New Roman" w:cs="Times New Roman"/>
          <w:color w:val="auto"/>
          <w:lang w:eastAsia="zh-CN"/>
        </w:rPr>
        <w:t>（</w:t>
      </w:r>
      <w:r>
        <w:rPr>
          <w:rFonts w:hint="default" w:ascii="Times New Roman" w:hAnsi="Times New Roman" w:cs="Times New Roman"/>
          <w:color w:val="auto"/>
        </w:rPr>
        <w:t>送审稿</w:t>
      </w:r>
      <w:r>
        <w:rPr>
          <w:rFonts w:hint="default" w:ascii="Times New Roman" w:hAnsi="Times New Roman" w:cs="Times New Roman"/>
          <w:color w:val="auto"/>
          <w:lang w:eastAsia="zh-CN"/>
        </w:rPr>
        <w:t>）</w:t>
      </w:r>
      <w:r>
        <w:rPr>
          <w:rFonts w:hint="default" w:ascii="Times New Roman" w:hAnsi="Times New Roman" w:cs="Times New Roman"/>
          <w:color w:val="auto"/>
        </w:rPr>
        <w:t>》技术审查会。根据专家评审意见，对方案报告书进行了认真的复核和修改，于20</w:t>
      </w:r>
      <w:r>
        <w:rPr>
          <w:rFonts w:hint="default" w:ascii="Times New Roman" w:hAnsi="Times New Roman" w:cs="Times New Roman"/>
          <w:color w:val="auto"/>
          <w:lang w:val="en-US" w:eastAsia="zh-CN"/>
        </w:rPr>
        <w:t>1</w:t>
      </w:r>
      <w:r>
        <w:rPr>
          <w:rFonts w:hint="default" w:ascii="Times New Roman" w:hAnsi="Times New Roman" w:cs="Times New Roman"/>
          <w:color w:val="auto"/>
        </w:rPr>
        <w:t>5年</w:t>
      </w:r>
      <w:r>
        <w:rPr>
          <w:rFonts w:hint="default" w:ascii="Times New Roman" w:hAnsi="Times New Roman" w:cs="Times New Roman"/>
          <w:color w:val="auto"/>
          <w:lang w:val="en-US" w:eastAsia="zh-CN"/>
        </w:rPr>
        <w:t>5</w:t>
      </w:r>
      <w:r>
        <w:rPr>
          <w:rFonts w:hint="default" w:ascii="Times New Roman" w:hAnsi="Times New Roman" w:cs="Times New Roman"/>
          <w:color w:val="auto"/>
        </w:rPr>
        <w:t>月底编制完成了《</w:t>
      </w:r>
      <w:r>
        <w:rPr>
          <w:rFonts w:hint="default" w:ascii="Times New Roman" w:hAnsi="Times New Roman" w:cs="Times New Roman" w:eastAsiaTheme="minorEastAsia"/>
          <w:color w:val="auto"/>
          <w:kern w:val="2"/>
          <w:sz w:val="24"/>
          <w:szCs w:val="28"/>
          <w:lang w:val="en-US" w:eastAsia="zh-CN" w:bidi="ar-SA"/>
        </w:rPr>
        <w:t>泸州市江阳区蓝田街道重湾（干坝子）安置房建设工程</w:t>
      </w:r>
      <w:r>
        <w:rPr>
          <w:rFonts w:hint="default" w:ascii="Times New Roman" w:hAnsi="Times New Roman" w:cs="Times New Roman"/>
          <w:color w:val="auto"/>
        </w:rPr>
        <w:t>水土保持方案报告书</w:t>
      </w:r>
      <w:r>
        <w:rPr>
          <w:rFonts w:hint="default" w:ascii="Times New Roman" w:hAnsi="Times New Roman" w:cs="Times New Roman"/>
          <w:color w:val="auto"/>
          <w:lang w:eastAsia="zh-CN"/>
        </w:rPr>
        <w:t>（</w:t>
      </w:r>
      <w:r>
        <w:rPr>
          <w:rFonts w:hint="default" w:ascii="Times New Roman" w:hAnsi="Times New Roman" w:cs="Times New Roman"/>
          <w:color w:val="auto"/>
        </w:rPr>
        <w:t>报批稿</w:t>
      </w:r>
      <w:r>
        <w:rPr>
          <w:rFonts w:hint="default" w:ascii="Times New Roman" w:hAnsi="Times New Roman" w:cs="Times New Roman"/>
          <w:color w:val="auto"/>
          <w:lang w:eastAsia="zh-CN"/>
        </w:rPr>
        <w:t>）</w:t>
      </w:r>
      <w:r>
        <w:rPr>
          <w:rFonts w:hint="default" w:ascii="Times New Roman" w:hAnsi="Times New Roman" w:cs="Times New Roman"/>
          <w:color w:val="auto"/>
        </w:rPr>
        <w:t>》。批复文件明确了本工程的水土流失防治责任范围，同意水土流失防治措施总体布局和投资概算；肯定了建设单位编报水土保持方案符合我国水土保持法律法规的规定，对于防治工程建设可能造成的水土流失，保护生态环境具有重要意义。</w:t>
      </w:r>
    </w:p>
    <w:p>
      <w:pPr>
        <w:pStyle w:val="440"/>
        <w:ind w:firstLine="480"/>
        <w:rPr>
          <w:rFonts w:hint="default" w:ascii="Times New Roman" w:hAnsi="Times New Roman" w:cs="Times New Roman"/>
          <w:color w:val="auto"/>
        </w:rPr>
      </w:pPr>
      <w:r>
        <w:rPr>
          <w:rFonts w:hint="default" w:ascii="Times New Roman" w:hAnsi="Times New Roman" w:cs="Times New Roman"/>
          <w:color w:val="auto"/>
        </w:rPr>
        <w:t>20</w:t>
      </w:r>
      <w:r>
        <w:rPr>
          <w:rFonts w:hint="default" w:ascii="Times New Roman" w:hAnsi="Times New Roman" w:cs="Times New Roman"/>
          <w:color w:val="auto"/>
          <w:lang w:val="en-US" w:eastAsia="zh-CN"/>
        </w:rPr>
        <w:t>1</w:t>
      </w:r>
      <w:r>
        <w:rPr>
          <w:rFonts w:hint="default" w:ascii="Times New Roman" w:hAnsi="Times New Roman" w:cs="Times New Roman"/>
          <w:color w:val="auto"/>
        </w:rPr>
        <w:t>5年</w:t>
      </w:r>
      <w:r>
        <w:rPr>
          <w:rFonts w:hint="default" w:ascii="Times New Roman" w:hAnsi="Times New Roman" w:cs="Times New Roman"/>
          <w:color w:val="auto"/>
          <w:lang w:val="en-US" w:eastAsia="zh-CN"/>
        </w:rPr>
        <w:t>9</w:t>
      </w:r>
      <w:r>
        <w:rPr>
          <w:rFonts w:hint="default" w:ascii="Times New Roman" w:hAnsi="Times New Roman" w:cs="Times New Roman"/>
          <w:color w:val="auto"/>
        </w:rPr>
        <w:t>月，泸州鑫盛轻工发</w:t>
      </w:r>
      <w:r>
        <w:rPr>
          <w:rFonts w:hint="default" w:ascii="Times New Roman" w:hAnsi="Times New Roman" w:cs="Times New Roman"/>
        </w:rPr>
        <w:t>展有限公司</w:t>
      </w:r>
      <w:r>
        <w:rPr>
          <w:rFonts w:hint="default" w:ascii="Times New Roman" w:hAnsi="Times New Roman" w:cs="Times New Roman"/>
          <w:color w:val="auto"/>
        </w:rPr>
        <w:t>委托四川电力设计院对</w:t>
      </w:r>
      <w:r>
        <w:rPr>
          <w:rFonts w:hint="default" w:ascii="Times New Roman" w:hAnsi="Times New Roman" w:cs="Times New Roman"/>
        </w:rPr>
        <w:t>泸州市江阳区蓝田梨子园安置房建设项目进行水土保持监测工作，在项目落实建设后即迅速组织相关人员开展工作，做到了水土保持监测基本按照相关管理办法进行，并做到监测随着项目建设工作的开展，全过程认真监测，及时收集获取项目水土保持监测信息，认真汇总，</w:t>
      </w:r>
      <w:r>
        <w:rPr>
          <w:rFonts w:hint="default" w:ascii="Times New Roman" w:hAnsi="Times New Roman" w:cs="Times New Roman"/>
          <w:color w:val="auto"/>
        </w:rPr>
        <w:t>最终形成《</w:t>
      </w:r>
      <w:r>
        <w:rPr>
          <w:rFonts w:hint="default" w:ascii="Times New Roman" w:hAnsi="Times New Roman" w:cs="Times New Roman" w:eastAsiaTheme="minorEastAsia"/>
          <w:kern w:val="2"/>
          <w:sz w:val="24"/>
          <w:szCs w:val="28"/>
          <w:lang w:val="en-US" w:eastAsia="zh-CN" w:bidi="ar-SA"/>
        </w:rPr>
        <w:t>泸州市江阳区蓝田街道重湾（干坝子）安置房建设工程</w:t>
      </w:r>
      <w:r>
        <w:rPr>
          <w:rFonts w:hint="default" w:ascii="Times New Roman" w:hAnsi="Times New Roman" w:cs="Times New Roman"/>
          <w:color w:val="auto"/>
        </w:rPr>
        <w:t>水土保持监测总结报告》。</w:t>
      </w:r>
    </w:p>
    <w:p>
      <w:pPr>
        <w:pStyle w:val="440"/>
        <w:ind w:firstLine="480"/>
        <w:rPr>
          <w:rFonts w:hint="default" w:ascii="Times New Roman" w:hAnsi="Times New Roman" w:cs="Times New Roman"/>
        </w:rPr>
      </w:pPr>
      <w:r>
        <w:rPr>
          <w:rFonts w:hint="default" w:ascii="Times New Roman" w:hAnsi="Times New Roman" w:cs="Times New Roman"/>
        </w:rPr>
        <w:t>泸州鑫盛轻工发展有限公司通过招投</w:t>
      </w:r>
      <w:r>
        <w:rPr>
          <w:rFonts w:hint="default" w:ascii="Times New Roman" w:hAnsi="Times New Roman" w:cs="Times New Roman"/>
          <w:color w:val="auto"/>
        </w:rPr>
        <w:t>标确定，由四川眉山华能工程技术咨询设计有限公司负责本工程水土保持监理工作，</w:t>
      </w:r>
      <w:r>
        <w:rPr>
          <w:rFonts w:hint="default" w:ascii="Times New Roman" w:hAnsi="Times New Roman" w:cs="Times New Roman"/>
        </w:rPr>
        <w:t>并成立了本工程项目监理部，监理人员进场后建立了监理机构。主要监理内容包括项目水土保持工程的监理。负责各部工程的质量、安全、进度以及环境保护管理。根据建设单位的授权，监理单位对承办商实施全过程监理，按照“统一、精干、高效”的原则，实施全面监理。监理单位建立了总监理工程师责任制，负责整个项目管理与协调工作，各项内容由专业监理工程师具体控制，从而形成了比较完善的监理控制体系。经过监理单位严格监督，保证了水土保持工程的施工质量、进度、投资等控制达到要求。</w:t>
      </w:r>
    </w:p>
    <w:p>
      <w:pPr>
        <w:pStyle w:val="440"/>
        <w:ind w:firstLine="480"/>
        <w:rPr>
          <w:rFonts w:hint="default" w:ascii="Times New Roman" w:hAnsi="Times New Roman" w:cs="Times New Roman"/>
          <w:sz w:val="44"/>
          <w:szCs w:val="44"/>
        </w:rPr>
      </w:pPr>
      <w:r>
        <w:rPr>
          <w:rFonts w:hint="default" w:ascii="Times New Roman" w:hAnsi="Times New Roman" w:cs="Times New Roman"/>
        </w:rPr>
        <w:t>泸州鑫盛轻工发展有限公司</w:t>
      </w:r>
      <w:r>
        <w:rPr>
          <w:rFonts w:hint="default" w:ascii="Times New Roman" w:hAnsi="Times New Roman" w:cs="Times New Roman" w:eastAsiaTheme="minorEastAsia"/>
          <w:kern w:val="2"/>
          <w:sz w:val="24"/>
          <w:szCs w:val="28"/>
          <w:lang w:val="en-US" w:eastAsia="zh-CN" w:bidi="ar-SA"/>
        </w:rPr>
        <w:t>泸州市江阳区蓝田街道重湾（干坝子）安置房建设工程</w:t>
      </w:r>
      <w:r>
        <w:rPr>
          <w:rFonts w:hint="default" w:ascii="Times New Roman" w:hAnsi="Times New Roman" w:cs="Times New Roman"/>
        </w:rPr>
        <w:t>就水土保持分部工程、单位工程举行了验收会议，会议成立了泸州鑫盛轻工发展有限公司</w:t>
      </w:r>
      <w:r>
        <w:rPr>
          <w:rFonts w:hint="default" w:ascii="Times New Roman" w:hAnsi="Times New Roman" w:cs="Times New Roman" w:eastAsiaTheme="minorEastAsia"/>
          <w:kern w:val="2"/>
          <w:sz w:val="24"/>
          <w:szCs w:val="28"/>
          <w:lang w:val="en-US" w:eastAsia="zh-CN" w:bidi="ar-SA"/>
        </w:rPr>
        <w:t>泸州市江阳区蓝田街道重湾（干坝子）安置房建设工程</w:t>
      </w:r>
      <w:r>
        <w:rPr>
          <w:rFonts w:hint="default" w:ascii="Times New Roman" w:hAnsi="Times New Roman" w:cs="Times New Roman"/>
        </w:rPr>
        <w:t>水土保持项目分部工程、单位工程验收工作组。 验收工作组成员察看了工程现场，听取了项目法人、设计、监理、施工、运行管理、质量监督等单位的工作汇报，查阅了工程档案资料，并进行了认真的讨论，验收组同意该项目水土保持分布工程、单位工程通过验收。</w:t>
      </w:r>
    </w:p>
    <w:p>
      <w:pPr>
        <w:pStyle w:val="440"/>
        <w:ind w:firstLine="480"/>
        <w:rPr>
          <w:rFonts w:hint="default" w:ascii="Times New Roman" w:hAnsi="Times New Roman" w:cs="Times New Roman" w:eastAsiaTheme="minorEastAsia"/>
          <w:lang w:val="en-US" w:eastAsia="zh-CN"/>
        </w:rPr>
      </w:pPr>
      <w:r>
        <w:rPr>
          <w:rFonts w:hint="default" w:ascii="Times New Roman" w:hAnsi="Times New Roman" w:cs="Times New Roman"/>
          <w:lang w:val="zh-CN"/>
        </w:rPr>
        <w:t>设计单位：</w:t>
      </w:r>
      <w:r>
        <w:rPr>
          <w:rFonts w:hint="default" w:ascii="Times New Roman" w:hAnsi="Times New Roman" w:cs="Times New Roman"/>
          <w:lang w:val="en-US" w:eastAsia="zh-CN"/>
        </w:rPr>
        <w:t>中国华西工程设计建设有限公司</w:t>
      </w:r>
    </w:p>
    <w:p>
      <w:pPr>
        <w:pStyle w:val="440"/>
        <w:ind w:firstLine="480"/>
        <w:rPr>
          <w:rFonts w:hint="default" w:ascii="Times New Roman" w:hAnsi="Times New Roman" w:cs="Times New Roman"/>
        </w:rPr>
      </w:pPr>
      <w:r>
        <w:rPr>
          <w:rFonts w:hint="default" w:ascii="Times New Roman" w:hAnsi="Times New Roman" w:cs="Times New Roman"/>
        </w:rPr>
        <w:t>施工单位：泸州鑫盛轻工发展有限公司</w:t>
      </w:r>
    </w:p>
    <w:p>
      <w:pPr>
        <w:pStyle w:val="440"/>
        <w:ind w:firstLine="480"/>
        <w:rPr>
          <w:rFonts w:hint="default" w:ascii="Times New Roman" w:hAnsi="Times New Roman" w:cs="Times New Roman"/>
          <w:color w:val="auto"/>
        </w:rPr>
      </w:pPr>
      <w:r>
        <w:rPr>
          <w:rFonts w:hint="default" w:ascii="Times New Roman" w:hAnsi="Times New Roman" w:cs="Times New Roman"/>
        </w:rPr>
        <w:t>监测单位：</w:t>
      </w:r>
      <w:r>
        <w:rPr>
          <w:rFonts w:hint="default" w:ascii="Times New Roman" w:hAnsi="Times New Roman" w:cs="Times New Roman"/>
          <w:color w:val="auto"/>
        </w:rPr>
        <w:t>四川省电力设计院</w:t>
      </w:r>
    </w:p>
    <w:p>
      <w:pPr>
        <w:pStyle w:val="440"/>
        <w:ind w:firstLine="480"/>
        <w:rPr>
          <w:rFonts w:hint="default" w:ascii="Times New Roman" w:hAnsi="Times New Roman" w:cs="Times New Roman" w:eastAsiaTheme="minorEastAsia"/>
          <w:color w:val="auto"/>
          <w:lang w:val="en-US" w:eastAsia="zh-CN"/>
        </w:rPr>
      </w:pPr>
      <w:r>
        <w:rPr>
          <w:rFonts w:hint="default" w:ascii="Times New Roman" w:hAnsi="Times New Roman" w:cs="Times New Roman"/>
        </w:rPr>
        <w:t>监理单位：四川眉山华能工程技术咨询设计有限公司</w:t>
      </w:r>
    </w:p>
    <w:p>
      <w:pPr>
        <w:pStyle w:val="440"/>
        <w:ind w:firstLine="480"/>
        <w:rPr>
          <w:rFonts w:hint="default" w:ascii="Times New Roman" w:hAnsi="Times New Roman" w:cs="Times New Roman"/>
        </w:rPr>
      </w:pPr>
      <w:r>
        <w:rPr>
          <w:rFonts w:hint="default" w:ascii="Times New Roman" w:hAnsi="Times New Roman" w:cs="Times New Roman"/>
        </w:rPr>
        <w:t>运行单位：泸州鑫盛轻工发展有限公司</w:t>
      </w:r>
    </w:p>
    <w:p>
      <w:pPr>
        <w:pStyle w:val="440"/>
        <w:ind w:firstLine="480"/>
        <w:rPr>
          <w:rFonts w:hint="default" w:ascii="Times New Roman" w:hAnsi="Times New Roman" w:cs="Times New Roman"/>
        </w:rPr>
      </w:pPr>
      <w:r>
        <w:rPr>
          <w:rFonts w:hint="default" w:ascii="Times New Roman" w:hAnsi="Times New Roman" w:cs="Times New Roman"/>
        </w:rPr>
        <w:t>水土保持方案编制单位：</w:t>
      </w:r>
      <w:r>
        <w:rPr>
          <w:rFonts w:hint="default" w:ascii="Times New Roman" w:hAnsi="Times New Roman" w:cs="Times New Roman" w:eastAsiaTheme="minorEastAsia"/>
          <w:kern w:val="2"/>
          <w:sz w:val="24"/>
          <w:szCs w:val="28"/>
          <w:lang w:val="en-US" w:eastAsia="zh-CN" w:bidi="ar-SA"/>
        </w:rPr>
        <w:t>四川金原工程勘察设计有限公司</w:t>
      </w:r>
    </w:p>
    <w:p>
      <w:pPr>
        <w:rPr>
          <w:rFonts w:hint="default" w:ascii="Times New Roman" w:hAnsi="Times New Roman" w:cs="Times New Roman"/>
        </w:rPr>
        <w:sectPr>
          <w:headerReference r:id="rId8" w:type="default"/>
          <w:pgSz w:w="11906" w:h="16838"/>
          <w:pgMar w:top="1440" w:right="1440" w:bottom="1440" w:left="1701" w:header="851" w:footer="992" w:gutter="0"/>
          <w:pgNumType w:start="1"/>
          <w:cols w:space="425" w:num="1"/>
          <w:docGrid w:linePitch="312" w:charSpace="0"/>
        </w:sectPr>
      </w:pPr>
    </w:p>
    <w:p>
      <w:pPr>
        <w:pStyle w:val="2"/>
        <w:rPr>
          <w:rFonts w:hint="default" w:ascii="Times New Roman" w:hAnsi="Times New Roman" w:cs="Times New Roman"/>
        </w:rPr>
      </w:pPr>
      <w:bookmarkStart w:id="19" w:name="_Toc502049568"/>
      <w:r>
        <w:rPr>
          <w:rFonts w:hint="default" w:ascii="Times New Roman" w:hAnsi="Times New Roman" w:cs="Times New Roman"/>
        </w:rPr>
        <w:t>1项目及项目区概况</w:t>
      </w:r>
      <w:bookmarkEnd w:id="19"/>
    </w:p>
    <w:p>
      <w:pPr>
        <w:pStyle w:val="3"/>
        <w:rPr>
          <w:rFonts w:hint="default" w:ascii="Times New Roman" w:hAnsi="Times New Roman" w:cs="Times New Roman"/>
        </w:rPr>
      </w:pPr>
      <w:bookmarkStart w:id="20" w:name="_Toc502049569"/>
      <w:r>
        <w:rPr>
          <w:rFonts w:hint="default" w:ascii="Times New Roman" w:hAnsi="Times New Roman" w:cs="Times New Roman"/>
        </w:rPr>
        <w:t>1.1项目概况</w:t>
      </w:r>
      <w:bookmarkEnd w:id="20"/>
    </w:p>
    <w:p>
      <w:pPr>
        <w:pStyle w:val="4"/>
        <w:rPr>
          <w:rFonts w:hint="default" w:ascii="Times New Roman" w:hAnsi="Times New Roman" w:cs="Times New Roman"/>
        </w:rPr>
      </w:pPr>
      <w:r>
        <w:rPr>
          <w:rFonts w:hint="default" w:ascii="Times New Roman" w:hAnsi="Times New Roman" w:cs="Times New Roman"/>
        </w:rPr>
        <w:t>1.1.1地理位置</w:t>
      </w:r>
    </w:p>
    <w:p>
      <w:pPr>
        <w:pageBreakBefore w:val="0"/>
        <w:kinsoku/>
        <w:bidi w:val="0"/>
        <w:spacing w:line="500" w:lineRule="exact"/>
        <w:ind w:firstLine="480" w:firstLineChars="200"/>
        <w:rPr>
          <w:rFonts w:hint="default" w:ascii="Times New Roman" w:hAnsi="Times New Roman" w:cs="Times New Roman"/>
        </w:rPr>
      </w:pPr>
      <w:r>
        <w:rPr>
          <w:rFonts w:hint="default" w:ascii="Times New Roman" w:hAnsi="Times New Roman" w:cs="Times New Roman" w:eastAsiaTheme="minorEastAsia"/>
          <w:kern w:val="2"/>
          <w:sz w:val="24"/>
          <w:szCs w:val="28"/>
          <w:lang w:val="en-US" w:eastAsia="zh-CN" w:bidi="ar-SA"/>
        </w:rPr>
        <w:t>泸州市江阳区蓝田街道重湾（干坝子）安置房建设工程用地位于江阳区蓝田街道重湾（干坝子）。该项目地块平整，地理环境较好，所有居民住户已全部拆迁，东面、北面为居住小区，南面紧临园区道路，西面为江阳区武装部及蓝田镇政府，距泸州市到纳溪区的二级公路约200m。</w:t>
      </w:r>
    </w:p>
    <w:p>
      <w:pPr>
        <w:pStyle w:val="4"/>
        <w:rPr>
          <w:rFonts w:hint="default" w:ascii="Times New Roman" w:hAnsi="Times New Roman" w:cs="Times New Roman"/>
        </w:rPr>
      </w:pPr>
      <w:r>
        <w:rPr>
          <w:rFonts w:hint="default" w:ascii="Times New Roman" w:hAnsi="Times New Roman" w:cs="Times New Roman"/>
        </w:rPr>
        <w:t>1.1.2主要技术指标</w:t>
      </w:r>
    </w:p>
    <w:p>
      <w:pPr>
        <w:pStyle w:val="440"/>
        <w:ind w:firstLine="480"/>
        <w:rPr>
          <w:rFonts w:hint="default" w:ascii="Times New Roman" w:hAnsi="Times New Roman" w:cs="Times New Roman"/>
        </w:rPr>
      </w:pPr>
      <w:r>
        <w:rPr>
          <w:rFonts w:hint="default" w:ascii="Times New Roman" w:hAnsi="Times New Roman" w:cs="Times New Roman"/>
        </w:rPr>
        <w:t>项目名称：</w:t>
      </w:r>
      <w:r>
        <w:rPr>
          <w:rFonts w:hint="default" w:ascii="Times New Roman" w:hAnsi="Times New Roman" w:cs="Times New Roman" w:eastAsiaTheme="minorEastAsia"/>
          <w:kern w:val="2"/>
          <w:sz w:val="24"/>
          <w:szCs w:val="28"/>
          <w:lang w:val="en-US" w:eastAsia="zh-CN" w:bidi="ar-SA"/>
        </w:rPr>
        <w:t>泸州市江阳区蓝田街道重湾（干坝子）安置房建设工程</w:t>
      </w:r>
    </w:p>
    <w:p>
      <w:pPr>
        <w:pStyle w:val="440"/>
        <w:ind w:firstLine="480"/>
        <w:rPr>
          <w:rFonts w:hint="default" w:ascii="Times New Roman" w:hAnsi="Times New Roman" w:cs="Times New Roman"/>
        </w:rPr>
      </w:pPr>
      <w:r>
        <w:rPr>
          <w:rFonts w:hint="default" w:ascii="Times New Roman" w:hAnsi="Times New Roman" w:cs="Times New Roman"/>
        </w:rPr>
        <w:t>建设单位：泸州鑫盛轻工发展有限公司</w:t>
      </w:r>
    </w:p>
    <w:p>
      <w:pPr>
        <w:pStyle w:val="440"/>
        <w:ind w:firstLine="480"/>
        <w:rPr>
          <w:rFonts w:hint="default" w:ascii="Times New Roman" w:hAnsi="Times New Roman" w:cs="Times New Roman"/>
        </w:rPr>
      </w:pPr>
      <w:r>
        <w:rPr>
          <w:rFonts w:hint="default" w:ascii="Times New Roman" w:hAnsi="Times New Roman" w:cs="Times New Roman"/>
        </w:rPr>
        <w:t>建设性质：新建</w:t>
      </w:r>
    </w:p>
    <w:p>
      <w:pPr>
        <w:pageBreakBefore w:val="0"/>
        <w:kinsoku/>
        <w:bidi w:val="0"/>
        <w:spacing w:line="500" w:lineRule="exact"/>
        <w:ind w:firstLine="480" w:firstLineChars="200"/>
        <w:rPr>
          <w:rFonts w:hint="default" w:ascii="Times New Roman" w:hAnsi="Times New Roman" w:cs="Times New Roman" w:eastAsiaTheme="minorEastAsia"/>
          <w:lang w:eastAsia="zh-CN"/>
        </w:rPr>
      </w:pPr>
      <w:r>
        <w:rPr>
          <w:rFonts w:hint="default" w:ascii="Times New Roman" w:hAnsi="Times New Roman" w:cs="Times New Roman" w:eastAsiaTheme="minorEastAsia"/>
          <w:kern w:val="2"/>
          <w:sz w:val="24"/>
          <w:szCs w:val="28"/>
          <w:lang w:val="en-US" w:eastAsia="zh-CN" w:bidi="ar-SA"/>
        </w:rPr>
        <w:t>建设内容及规模：本项目总占地面积共 1.34 公顷（13343.0m</w:t>
      </w:r>
      <w:r>
        <w:rPr>
          <w:rFonts w:hint="default" w:ascii="Times New Roman" w:hAnsi="Times New Roman" w:cs="Times New Roman" w:eastAsiaTheme="minorEastAsia"/>
          <w:kern w:val="2"/>
          <w:sz w:val="24"/>
          <w:szCs w:val="28"/>
          <w:vertAlign w:val="superscript"/>
          <w:lang w:val="en-US" w:eastAsia="zh-CN" w:bidi="ar-SA"/>
        </w:rPr>
        <w:t xml:space="preserve"> 2</w:t>
      </w:r>
      <w:r>
        <w:rPr>
          <w:rFonts w:hint="default" w:ascii="Times New Roman" w:hAnsi="Times New Roman" w:cs="Times New Roman" w:eastAsiaTheme="minorEastAsia"/>
          <w:kern w:val="2"/>
          <w:sz w:val="24"/>
          <w:szCs w:val="28"/>
          <w:lang w:val="en-US" w:eastAsia="zh-CN" w:bidi="ar-SA"/>
        </w:rPr>
        <w:t xml:space="preserve"> ），新建400套安置房，含门市、物业用房及相关附属设施，用地全部属于永久用地。</w:t>
      </w:r>
    </w:p>
    <w:p>
      <w:pPr>
        <w:pStyle w:val="4"/>
        <w:rPr>
          <w:rFonts w:hint="default" w:ascii="Times New Roman" w:hAnsi="Times New Roman" w:cs="Times New Roman"/>
        </w:rPr>
      </w:pPr>
      <w:r>
        <w:rPr>
          <w:rFonts w:hint="default" w:ascii="Times New Roman" w:hAnsi="Times New Roman" w:cs="Times New Roman"/>
        </w:rPr>
        <w:t>1.1.3项目投资</w:t>
      </w:r>
    </w:p>
    <w:p>
      <w:pPr>
        <w:pStyle w:val="440"/>
        <w:ind w:firstLine="480"/>
        <w:rPr>
          <w:rFonts w:hint="default" w:ascii="Times New Roman" w:hAnsi="Times New Roman" w:cs="Times New Roman"/>
        </w:rPr>
      </w:pPr>
      <w:r>
        <w:rPr>
          <w:rFonts w:hint="default" w:ascii="Times New Roman" w:hAnsi="Times New Roman" w:cs="Times New Roman"/>
        </w:rPr>
        <w:t>工程建设投资：本项目投资总投资</w:t>
      </w:r>
      <w:r>
        <w:rPr>
          <w:rFonts w:hint="default" w:ascii="Times New Roman" w:hAnsi="Times New Roman" w:cs="Times New Roman"/>
          <w:lang w:val="en-US" w:eastAsia="zh-CN"/>
        </w:rPr>
        <w:t>1.2</w:t>
      </w:r>
      <w:r>
        <w:rPr>
          <w:rFonts w:hint="default" w:ascii="Times New Roman" w:hAnsi="Times New Roman" w:cs="Times New Roman"/>
        </w:rPr>
        <w:t>亿元。</w:t>
      </w:r>
    </w:p>
    <w:p>
      <w:pPr>
        <w:pStyle w:val="4"/>
        <w:rPr>
          <w:rFonts w:hint="default" w:ascii="Times New Roman" w:hAnsi="Times New Roman" w:cs="Times New Roman"/>
        </w:rPr>
      </w:pPr>
      <w:r>
        <w:rPr>
          <w:rFonts w:hint="default" w:ascii="Times New Roman" w:hAnsi="Times New Roman" w:cs="Times New Roman"/>
        </w:rPr>
        <w:t>1.1.4项目组成及布置</w:t>
      </w:r>
    </w:p>
    <w:p>
      <w:pPr>
        <w:pageBreakBefore w:val="0"/>
        <w:kinsoku/>
        <w:bidi w:val="0"/>
        <w:spacing w:line="50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项目建设地点为四川省泸州市</w:t>
      </w:r>
      <w:r>
        <w:rPr>
          <w:rFonts w:hint="default" w:ascii="Times New Roman" w:hAnsi="Times New Roman" w:cs="Times New Roman" w:eastAsiaTheme="minorEastAsia"/>
          <w:kern w:val="2"/>
          <w:sz w:val="24"/>
          <w:szCs w:val="28"/>
          <w:lang w:val="en-US" w:eastAsia="zh-CN" w:bidi="ar-SA"/>
        </w:rPr>
        <w:t>江阳区蓝田街道重湾（干坝子）</w:t>
      </w:r>
      <w:r>
        <w:rPr>
          <w:rFonts w:hint="default" w:ascii="Times New Roman" w:hAnsi="Times New Roman" w:cs="Times New Roman"/>
          <w:sz w:val="24"/>
          <w:szCs w:val="24"/>
        </w:rPr>
        <w:t>，工程总占地面积为</w:t>
      </w:r>
      <w:r>
        <w:rPr>
          <w:rFonts w:hint="default" w:ascii="Times New Roman" w:hAnsi="Times New Roman" w:cs="Times New Roman"/>
          <w:sz w:val="24"/>
          <w:szCs w:val="24"/>
          <w:lang w:val="en-US" w:eastAsia="zh-CN"/>
        </w:rPr>
        <w:t>1.34</w:t>
      </w:r>
      <w:r>
        <w:rPr>
          <w:rFonts w:hint="default" w:ascii="Times New Roman" w:hAnsi="Times New Roman" w:cs="Times New Roman"/>
          <w:sz w:val="24"/>
          <w:szCs w:val="24"/>
        </w:rPr>
        <w:t xml:space="preserve"> hm²，全部为永久占地，包括主体建筑区</w:t>
      </w:r>
      <w:r>
        <w:rPr>
          <w:rFonts w:hint="default" w:ascii="Times New Roman" w:hAnsi="Times New Roman" w:cs="Times New Roman"/>
          <w:sz w:val="24"/>
          <w:szCs w:val="24"/>
          <w:lang w:val="en-US" w:eastAsia="zh-CN"/>
        </w:rPr>
        <w:t>0.46</w:t>
      </w:r>
      <w:r>
        <w:rPr>
          <w:rFonts w:hint="default" w:ascii="Times New Roman" w:hAnsi="Times New Roman" w:cs="Times New Roman"/>
          <w:sz w:val="24"/>
          <w:szCs w:val="24"/>
        </w:rPr>
        <w:t>hm²，道路</w:t>
      </w:r>
      <w:r>
        <w:rPr>
          <w:rFonts w:hint="default" w:ascii="Times New Roman" w:hAnsi="Times New Roman" w:cs="Times New Roman"/>
          <w:sz w:val="24"/>
          <w:szCs w:val="24"/>
          <w:lang w:val="en-US" w:eastAsia="zh-CN"/>
        </w:rPr>
        <w:t>广</w:t>
      </w:r>
      <w:r>
        <w:rPr>
          <w:rFonts w:hint="default" w:ascii="Times New Roman" w:hAnsi="Times New Roman" w:cs="Times New Roman"/>
          <w:sz w:val="24"/>
          <w:szCs w:val="24"/>
        </w:rPr>
        <w:t>场区</w:t>
      </w:r>
      <w:r>
        <w:rPr>
          <w:rFonts w:hint="default" w:ascii="Times New Roman" w:hAnsi="Times New Roman" w:cs="Times New Roman"/>
          <w:sz w:val="24"/>
          <w:szCs w:val="24"/>
          <w:lang w:val="en-US" w:eastAsia="zh-CN"/>
        </w:rPr>
        <w:t>0.40</w:t>
      </w:r>
      <w:r>
        <w:rPr>
          <w:rFonts w:hint="default" w:ascii="Times New Roman" w:hAnsi="Times New Roman" w:cs="Times New Roman"/>
          <w:sz w:val="24"/>
          <w:szCs w:val="24"/>
        </w:rPr>
        <w:t>hm²，景观绿化区</w:t>
      </w:r>
      <w:r>
        <w:rPr>
          <w:rFonts w:hint="default" w:ascii="Times New Roman" w:hAnsi="Times New Roman" w:cs="Times New Roman"/>
          <w:sz w:val="24"/>
          <w:szCs w:val="24"/>
          <w:lang w:val="en-US" w:eastAsia="zh-CN"/>
        </w:rPr>
        <w:t>0.48</w:t>
      </w:r>
      <w:r>
        <w:rPr>
          <w:rFonts w:hint="default" w:ascii="Times New Roman" w:hAnsi="Times New Roman" w:cs="Times New Roman"/>
          <w:sz w:val="24"/>
          <w:szCs w:val="24"/>
        </w:rPr>
        <w:t>hm²。工程建设工期为2年，自2015年</w:t>
      </w:r>
      <w:r>
        <w:rPr>
          <w:rFonts w:hint="default" w:ascii="Times New Roman" w:hAnsi="Times New Roman" w:cs="Times New Roman"/>
          <w:sz w:val="24"/>
          <w:szCs w:val="24"/>
          <w:lang w:val="en-US" w:eastAsia="zh-CN"/>
        </w:rPr>
        <w:t>9</w:t>
      </w:r>
      <w:r>
        <w:rPr>
          <w:rFonts w:hint="default" w:ascii="Times New Roman" w:hAnsi="Times New Roman" w:cs="Times New Roman"/>
          <w:sz w:val="24"/>
          <w:szCs w:val="24"/>
        </w:rPr>
        <w:t>月至2017年</w:t>
      </w:r>
      <w:r>
        <w:rPr>
          <w:rFonts w:hint="default" w:ascii="Times New Roman" w:hAnsi="Times New Roman" w:cs="Times New Roman"/>
          <w:sz w:val="24"/>
          <w:szCs w:val="24"/>
          <w:lang w:val="en-US" w:eastAsia="zh-CN"/>
        </w:rPr>
        <w:t>8</w:t>
      </w:r>
      <w:r>
        <w:rPr>
          <w:rFonts w:hint="default" w:ascii="Times New Roman" w:hAnsi="Times New Roman" w:cs="Times New Roman"/>
          <w:sz w:val="24"/>
          <w:szCs w:val="24"/>
        </w:rPr>
        <w:t>月，项目投资总投资</w:t>
      </w:r>
      <w:r>
        <w:rPr>
          <w:rFonts w:hint="default" w:ascii="Times New Roman" w:hAnsi="Times New Roman" w:cs="Times New Roman"/>
          <w:sz w:val="24"/>
          <w:szCs w:val="24"/>
          <w:lang w:val="en-US" w:eastAsia="zh-CN"/>
        </w:rPr>
        <w:t>1.2</w:t>
      </w:r>
      <w:r>
        <w:rPr>
          <w:rFonts w:hint="default" w:ascii="Times New Roman" w:hAnsi="Times New Roman" w:cs="Times New Roman"/>
          <w:sz w:val="24"/>
          <w:szCs w:val="24"/>
        </w:rPr>
        <w:t>亿元。</w:t>
      </w:r>
    </w:p>
    <w:p>
      <w:pPr>
        <w:pageBreakBefore w:val="0"/>
        <w:kinsoku/>
        <w:bidi w:val="0"/>
        <w:spacing w:line="500" w:lineRule="exact"/>
        <w:ind w:firstLine="480" w:firstLineChars="200"/>
        <w:rPr>
          <w:rFonts w:hint="default" w:ascii="Times New Roman" w:hAnsi="Times New Roman" w:cs="Times New Roman"/>
          <w:sz w:val="24"/>
          <w:szCs w:val="24"/>
        </w:rPr>
      </w:pPr>
      <w:r>
        <w:rPr>
          <w:rFonts w:hint="default" w:ascii="Times New Roman" w:hAnsi="Times New Roman" w:cs="Times New Roman" w:eastAsiaTheme="minorEastAsia"/>
          <w:kern w:val="2"/>
          <w:sz w:val="24"/>
          <w:szCs w:val="28"/>
          <w:lang w:val="en-US" w:eastAsia="zh-CN" w:bidi="ar-SA"/>
        </w:rPr>
        <w:t>泸州市江阳区蓝田街道重湾（干坝子）安置房建设工程</w:t>
      </w:r>
      <w:r>
        <w:rPr>
          <w:rFonts w:hint="default" w:ascii="Times New Roman" w:hAnsi="Times New Roman" w:cs="Times New Roman"/>
          <w:sz w:val="24"/>
          <w:szCs w:val="24"/>
        </w:rPr>
        <w:t>组成及特性详见表</w:t>
      </w:r>
      <w:r>
        <w:rPr>
          <w:rFonts w:hint="default" w:ascii="Times New Roman" w:hAnsi="Times New Roman" w:cs="Times New Roman"/>
          <w:sz w:val="24"/>
          <w:szCs w:val="24"/>
          <w:lang w:val="en-US" w:eastAsia="zh-CN"/>
        </w:rPr>
        <w:t>1-1</w:t>
      </w:r>
      <w:r>
        <w:rPr>
          <w:rFonts w:hint="default" w:ascii="Times New Roman" w:hAnsi="Times New Roman" w:cs="Times New Roman"/>
          <w:sz w:val="24"/>
          <w:szCs w:val="24"/>
        </w:rPr>
        <w:t>。</w:t>
      </w:r>
    </w:p>
    <w:p>
      <w:pPr>
        <w:pStyle w:val="472"/>
        <w:pageBreakBefore w:val="0"/>
        <w:kinsoku/>
        <w:bidi w:val="0"/>
        <w:spacing w:line="500" w:lineRule="exact"/>
        <w:ind w:firstLine="480" w:firstLineChars="200"/>
        <w:rPr>
          <w:rFonts w:hint="default" w:ascii="Times New Roman" w:hAnsi="Times New Roman" w:eastAsia="黑体" w:cs="Times New Roman"/>
          <w:b w:val="0"/>
          <w:szCs w:val="24"/>
        </w:rPr>
      </w:pPr>
    </w:p>
    <w:p>
      <w:pPr>
        <w:pStyle w:val="32"/>
        <w:ind w:firstLine="480"/>
        <w:rPr>
          <w:rFonts w:hint="default" w:ascii="Times New Roman" w:hAnsi="Times New Roman" w:cs="Times New Roman"/>
        </w:rPr>
      </w:pPr>
      <w:r>
        <w:rPr>
          <w:rFonts w:hint="default" w:ascii="Times New Roman" w:hAnsi="Times New Roman" w:cs="Times New Roman"/>
        </w:rPr>
        <w:t>表</w:t>
      </w:r>
      <w:r>
        <w:rPr>
          <w:rFonts w:hint="default" w:ascii="Times New Roman" w:hAnsi="Times New Roman" w:cs="Times New Roman"/>
          <w:lang w:val="en-US" w:eastAsia="zh-CN"/>
        </w:rPr>
        <w:t>1</w:t>
      </w:r>
      <w:r>
        <w:rPr>
          <w:rFonts w:hint="default" w:ascii="Times New Roman" w:hAnsi="Times New Roman" w:cs="Times New Roman"/>
        </w:rPr>
        <w:t xml:space="preserve">-1  </w:t>
      </w:r>
      <w:r>
        <w:rPr>
          <w:rFonts w:hint="default" w:ascii="Times New Roman" w:hAnsi="Times New Roman" w:eastAsia="黑体" w:cs="Times New Roman"/>
          <w:b w:val="0"/>
          <w:szCs w:val="24"/>
        </w:rPr>
        <w:t>项目组成特性表</w:t>
      </w:r>
    </w:p>
    <w:tbl>
      <w:tblPr>
        <w:tblStyle w:val="46"/>
        <w:tblW w:w="928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39"/>
        <w:gridCol w:w="2416"/>
        <w:gridCol w:w="531"/>
        <w:gridCol w:w="1276"/>
        <w:gridCol w:w="810"/>
        <w:gridCol w:w="24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9286" w:type="dxa"/>
            <w:gridSpan w:val="6"/>
            <w:noWrap w:val="0"/>
            <w:vAlign w:val="center"/>
          </w:tcPr>
          <w:p>
            <w:pPr>
              <w:pStyle w:val="473"/>
              <w:pageBreakBefore w:val="0"/>
              <w:kinsoku/>
              <w:bidi w:val="0"/>
              <w:spacing w:line="50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一、项目特性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839" w:type="dxa"/>
            <w:noWrap w:val="0"/>
            <w:vAlign w:val="center"/>
          </w:tcPr>
          <w:p>
            <w:pPr>
              <w:pStyle w:val="473"/>
              <w:pageBreakBefore w:val="0"/>
              <w:kinsoku/>
              <w:bidi w:val="0"/>
              <w:spacing w:line="50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工程名称</w:t>
            </w:r>
          </w:p>
        </w:tc>
        <w:tc>
          <w:tcPr>
            <w:tcW w:w="7447" w:type="dxa"/>
            <w:gridSpan w:val="5"/>
            <w:noWrap w:val="0"/>
            <w:vAlign w:val="center"/>
          </w:tcPr>
          <w:p>
            <w:pPr>
              <w:pStyle w:val="473"/>
              <w:pageBreakBefore w:val="0"/>
              <w:kinsoku/>
              <w:bidi w:val="0"/>
              <w:spacing w:line="50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泸州市江阳区蓝田街道重湾（干坝子）安置房建设工程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839" w:type="dxa"/>
            <w:noWrap w:val="0"/>
            <w:vAlign w:val="center"/>
          </w:tcPr>
          <w:p>
            <w:pPr>
              <w:pStyle w:val="473"/>
              <w:pageBreakBefore w:val="0"/>
              <w:kinsoku/>
              <w:bidi w:val="0"/>
              <w:spacing w:line="50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建设地点</w:t>
            </w:r>
          </w:p>
        </w:tc>
        <w:tc>
          <w:tcPr>
            <w:tcW w:w="2947" w:type="dxa"/>
            <w:gridSpan w:val="2"/>
            <w:noWrap w:val="0"/>
            <w:vAlign w:val="center"/>
          </w:tcPr>
          <w:p>
            <w:pPr>
              <w:pStyle w:val="473"/>
              <w:pageBreakBefore w:val="0"/>
              <w:kinsoku/>
              <w:bidi w:val="0"/>
              <w:spacing w:line="50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四川省泸州市江阳区蓝田街道重湾（干坝子）</w:t>
            </w:r>
          </w:p>
        </w:tc>
        <w:tc>
          <w:tcPr>
            <w:tcW w:w="1276" w:type="dxa"/>
            <w:noWrap w:val="0"/>
            <w:vAlign w:val="center"/>
          </w:tcPr>
          <w:p>
            <w:pPr>
              <w:pStyle w:val="473"/>
              <w:pageBreakBefore w:val="0"/>
              <w:kinsoku/>
              <w:bidi w:val="0"/>
              <w:spacing w:line="50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所属流域</w:t>
            </w:r>
          </w:p>
        </w:tc>
        <w:tc>
          <w:tcPr>
            <w:tcW w:w="3224" w:type="dxa"/>
            <w:gridSpan w:val="2"/>
            <w:noWrap w:val="0"/>
            <w:vAlign w:val="center"/>
          </w:tcPr>
          <w:p>
            <w:pPr>
              <w:pStyle w:val="473"/>
              <w:pageBreakBefore w:val="0"/>
              <w:kinsoku/>
              <w:bidi w:val="0"/>
              <w:spacing w:line="50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长江流域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839" w:type="dxa"/>
            <w:noWrap w:val="0"/>
            <w:vAlign w:val="center"/>
          </w:tcPr>
          <w:p>
            <w:pPr>
              <w:pStyle w:val="473"/>
              <w:pageBreakBefore w:val="0"/>
              <w:kinsoku/>
              <w:bidi w:val="0"/>
              <w:spacing w:line="50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工程性质</w:t>
            </w:r>
          </w:p>
        </w:tc>
        <w:tc>
          <w:tcPr>
            <w:tcW w:w="2947" w:type="dxa"/>
            <w:gridSpan w:val="2"/>
            <w:noWrap w:val="0"/>
            <w:vAlign w:val="center"/>
          </w:tcPr>
          <w:p>
            <w:pPr>
              <w:pStyle w:val="473"/>
              <w:pageBreakBefore w:val="0"/>
              <w:kinsoku/>
              <w:bidi w:val="0"/>
              <w:spacing w:line="50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新建</w:t>
            </w:r>
          </w:p>
        </w:tc>
        <w:tc>
          <w:tcPr>
            <w:tcW w:w="1276" w:type="dxa"/>
            <w:noWrap w:val="0"/>
            <w:vAlign w:val="center"/>
          </w:tcPr>
          <w:p>
            <w:pPr>
              <w:pStyle w:val="473"/>
              <w:pageBreakBefore w:val="0"/>
              <w:kinsoku/>
              <w:bidi w:val="0"/>
              <w:spacing w:line="50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建设单位</w:t>
            </w:r>
          </w:p>
        </w:tc>
        <w:tc>
          <w:tcPr>
            <w:tcW w:w="3224" w:type="dxa"/>
            <w:gridSpan w:val="2"/>
            <w:noWrap w:val="0"/>
            <w:vAlign w:val="center"/>
          </w:tcPr>
          <w:p>
            <w:pPr>
              <w:pStyle w:val="473"/>
              <w:pageBreakBefore w:val="0"/>
              <w:kinsoku/>
              <w:bidi w:val="0"/>
              <w:spacing w:line="50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泸州鑫盛轻工发展有限公司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839" w:type="dxa"/>
            <w:noWrap w:val="0"/>
            <w:vAlign w:val="center"/>
          </w:tcPr>
          <w:p>
            <w:pPr>
              <w:pStyle w:val="473"/>
              <w:pageBreakBefore w:val="0"/>
              <w:kinsoku/>
              <w:bidi w:val="0"/>
              <w:spacing w:line="50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工程占地</w:t>
            </w:r>
          </w:p>
        </w:tc>
        <w:tc>
          <w:tcPr>
            <w:tcW w:w="2947" w:type="dxa"/>
            <w:gridSpan w:val="2"/>
            <w:noWrap w:val="0"/>
            <w:vAlign w:val="center"/>
          </w:tcPr>
          <w:p>
            <w:pPr>
              <w:pStyle w:val="473"/>
              <w:pageBreakBefore w:val="0"/>
              <w:kinsoku/>
              <w:bidi w:val="0"/>
              <w:spacing w:line="50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1.34hm²</w:t>
            </w:r>
          </w:p>
        </w:tc>
        <w:tc>
          <w:tcPr>
            <w:tcW w:w="1276" w:type="dxa"/>
            <w:noWrap w:val="0"/>
            <w:vAlign w:val="center"/>
          </w:tcPr>
          <w:p>
            <w:pPr>
              <w:pStyle w:val="473"/>
              <w:pageBreakBefore w:val="0"/>
              <w:kinsoku/>
              <w:bidi w:val="0"/>
              <w:spacing w:line="50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基建期</w:t>
            </w:r>
          </w:p>
        </w:tc>
        <w:tc>
          <w:tcPr>
            <w:tcW w:w="3224" w:type="dxa"/>
            <w:gridSpan w:val="2"/>
            <w:noWrap w:val="0"/>
            <w:vAlign w:val="center"/>
          </w:tcPr>
          <w:p>
            <w:pPr>
              <w:pStyle w:val="473"/>
              <w:pageBreakBefore w:val="0"/>
              <w:kinsoku/>
              <w:bidi w:val="0"/>
              <w:spacing w:line="50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839" w:type="dxa"/>
            <w:noWrap w:val="0"/>
            <w:vAlign w:val="center"/>
          </w:tcPr>
          <w:p>
            <w:pPr>
              <w:pStyle w:val="473"/>
              <w:pageBreakBefore w:val="0"/>
              <w:kinsoku/>
              <w:bidi w:val="0"/>
              <w:spacing w:line="50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工程投资</w:t>
            </w:r>
          </w:p>
        </w:tc>
        <w:tc>
          <w:tcPr>
            <w:tcW w:w="7447" w:type="dxa"/>
            <w:gridSpan w:val="5"/>
            <w:noWrap w:val="0"/>
            <w:vAlign w:val="center"/>
          </w:tcPr>
          <w:p>
            <w:pPr>
              <w:pStyle w:val="473"/>
              <w:pageBreakBefore w:val="0"/>
              <w:kinsoku/>
              <w:bidi w:val="0"/>
              <w:spacing w:line="50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本项目投资总投资1.2亿元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9286" w:type="dxa"/>
            <w:gridSpan w:val="6"/>
            <w:noWrap w:val="0"/>
            <w:vAlign w:val="center"/>
          </w:tcPr>
          <w:p>
            <w:pPr>
              <w:pStyle w:val="473"/>
              <w:pageBreakBefore w:val="0"/>
              <w:kinsoku/>
              <w:bidi w:val="0"/>
              <w:spacing w:line="50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二、项目组成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839" w:type="dxa"/>
            <w:noWrap w:val="0"/>
            <w:vAlign w:val="center"/>
          </w:tcPr>
          <w:p>
            <w:pPr>
              <w:pStyle w:val="473"/>
              <w:pageBreakBefore w:val="0"/>
              <w:kinsoku/>
              <w:bidi w:val="0"/>
              <w:spacing w:line="50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项目组成</w:t>
            </w:r>
          </w:p>
        </w:tc>
        <w:tc>
          <w:tcPr>
            <w:tcW w:w="2416" w:type="dxa"/>
            <w:noWrap w:val="0"/>
            <w:vAlign w:val="center"/>
          </w:tcPr>
          <w:p>
            <w:pPr>
              <w:pStyle w:val="473"/>
              <w:pageBreakBefore w:val="0"/>
              <w:kinsoku/>
              <w:bidi w:val="0"/>
              <w:spacing w:line="50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建设项目</w:t>
            </w:r>
          </w:p>
        </w:tc>
        <w:tc>
          <w:tcPr>
            <w:tcW w:w="2617" w:type="dxa"/>
            <w:gridSpan w:val="3"/>
            <w:noWrap w:val="0"/>
            <w:vAlign w:val="center"/>
          </w:tcPr>
          <w:p>
            <w:pPr>
              <w:pStyle w:val="473"/>
              <w:pageBreakBefore w:val="0"/>
              <w:kinsoku/>
              <w:bidi w:val="0"/>
              <w:spacing w:line="50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占地面积（hm²）</w:t>
            </w:r>
          </w:p>
        </w:tc>
        <w:tc>
          <w:tcPr>
            <w:tcW w:w="2414" w:type="dxa"/>
            <w:noWrap w:val="0"/>
            <w:vAlign w:val="center"/>
          </w:tcPr>
          <w:p>
            <w:pPr>
              <w:pStyle w:val="473"/>
              <w:pageBreakBefore w:val="0"/>
              <w:kinsoku/>
              <w:bidi w:val="0"/>
              <w:spacing w:line="50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839" w:type="dxa"/>
            <w:noWrap w:val="0"/>
            <w:vAlign w:val="center"/>
          </w:tcPr>
          <w:p>
            <w:pPr>
              <w:pStyle w:val="473"/>
              <w:pageBreakBefore w:val="0"/>
              <w:kinsoku/>
              <w:bidi w:val="0"/>
              <w:spacing w:line="50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主体建筑区</w:t>
            </w:r>
          </w:p>
        </w:tc>
        <w:tc>
          <w:tcPr>
            <w:tcW w:w="2416" w:type="dxa"/>
            <w:noWrap w:val="0"/>
            <w:vAlign w:val="center"/>
          </w:tcPr>
          <w:p>
            <w:pPr>
              <w:pStyle w:val="473"/>
              <w:pageBreakBefore w:val="0"/>
              <w:kinsoku/>
              <w:bidi w:val="0"/>
              <w:spacing w:line="50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主体建筑</w:t>
            </w:r>
          </w:p>
        </w:tc>
        <w:tc>
          <w:tcPr>
            <w:tcW w:w="2617" w:type="dxa"/>
            <w:gridSpan w:val="3"/>
            <w:noWrap w:val="0"/>
            <w:vAlign w:val="center"/>
          </w:tcPr>
          <w:p>
            <w:pPr>
              <w:pStyle w:val="473"/>
              <w:pageBreakBefore w:val="0"/>
              <w:kinsoku/>
              <w:bidi w:val="0"/>
              <w:spacing w:line="50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0.46</w:t>
            </w:r>
          </w:p>
        </w:tc>
        <w:tc>
          <w:tcPr>
            <w:tcW w:w="2414" w:type="dxa"/>
            <w:vMerge w:val="restart"/>
            <w:noWrap w:val="0"/>
            <w:vAlign w:val="center"/>
          </w:tcPr>
          <w:p>
            <w:pPr>
              <w:pStyle w:val="473"/>
              <w:pageBreakBefore w:val="0"/>
              <w:kinsoku/>
              <w:bidi w:val="0"/>
              <w:spacing w:line="50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项目建设占地</w:t>
            </w:r>
          </w:p>
          <w:p>
            <w:pPr>
              <w:pStyle w:val="473"/>
              <w:pageBreakBefore w:val="0"/>
              <w:kinsoku/>
              <w:bidi w:val="0"/>
              <w:spacing w:line="500" w:lineRule="exact"/>
              <w:jc w:val="center"/>
              <w:rPr>
                <w:rFonts w:hint="default" w:ascii="Times New Roman" w:hAnsi="Times New Roman" w:cs="Times New Roman"/>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839" w:type="dxa"/>
            <w:noWrap w:val="0"/>
            <w:vAlign w:val="center"/>
          </w:tcPr>
          <w:p>
            <w:pPr>
              <w:pStyle w:val="473"/>
              <w:pageBreakBefore w:val="0"/>
              <w:kinsoku/>
              <w:bidi w:val="0"/>
              <w:spacing w:line="50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道路广场区</w:t>
            </w:r>
          </w:p>
        </w:tc>
        <w:tc>
          <w:tcPr>
            <w:tcW w:w="2416" w:type="dxa"/>
            <w:noWrap w:val="0"/>
            <w:vAlign w:val="center"/>
          </w:tcPr>
          <w:p>
            <w:pPr>
              <w:pStyle w:val="473"/>
              <w:pageBreakBefore w:val="0"/>
              <w:kinsoku/>
              <w:bidi w:val="0"/>
              <w:spacing w:line="50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道路及停车场</w:t>
            </w:r>
          </w:p>
        </w:tc>
        <w:tc>
          <w:tcPr>
            <w:tcW w:w="2617" w:type="dxa"/>
            <w:gridSpan w:val="3"/>
            <w:noWrap w:val="0"/>
            <w:vAlign w:val="center"/>
          </w:tcPr>
          <w:p>
            <w:pPr>
              <w:pStyle w:val="473"/>
              <w:pageBreakBefore w:val="0"/>
              <w:kinsoku/>
              <w:bidi w:val="0"/>
              <w:spacing w:line="50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0.40</w:t>
            </w:r>
          </w:p>
        </w:tc>
        <w:tc>
          <w:tcPr>
            <w:tcW w:w="2414" w:type="dxa"/>
            <w:vMerge w:val="continue"/>
            <w:noWrap w:val="0"/>
            <w:vAlign w:val="center"/>
          </w:tcPr>
          <w:p>
            <w:pPr>
              <w:pStyle w:val="473"/>
              <w:pageBreakBefore w:val="0"/>
              <w:kinsoku/>
              <w:bidi w:val="0"/>
              <w:spacing w:line="500" w:lineRule="exact"/>
              <w:jc w:val="center"/>
              <w:rPr>
                <w:rFonts w:hint="default" w:ascii="Times New Roman" w:hAnsi="Times New Roman" w:cs="Times New Roman"/>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839" w:type="dxa"/>
            <w:noWrap w:val="0"/>
            <w:vAlign w:val="center"/>
          </w:tcPr>
          <w:p>
            <w:pPr>
              <w:pStyle w:val="473"/>
              <w:pageBreakBefore w:val="0"/>
              <w:kinsoku/>
              <w:bidi w:val="0"/>
              <w:spacing w:line="50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景观绿化区</w:t>
            </w:r>
          </w:p>
        </w:tc>
        <w:tc>
          <w:tcPr>
            <w:tcW w:w="2416" w:type="dxa"/>
            <w:noWrap w:val="0"/>
            <w:vAlign w:val="center"/>
          </w:tcPr>
          <w:p>
            <w:pPr>
              <w:pStyle w:val="473"/>
              <w:pageBreakBefore w:val="0"/>
              <w:kinsoku/>
              <w:bidi w:val="0"/>
              <w:spacing w:line="50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景观绿地</w:t>
            </w:r>
          </w:p>
        </w:tc>
        <w:tc>
          <w:tcPr>
            <w:tcW w:w="2617" w:type="dxa"/>
            <w:gridSpan w:val="3"/>
            <w:noWrap w:val="0"/>
            <w:vAlign w:val="center"/>
          </w:tcPr>
          <w:p>
            <w:pPr>
              <w:pStyle w:val="473"/>
              <w:pageBreakBefore w:val="0"/>
              <w:kinsoku/>
              <w:bidi w:val="0"/>
              <w:spacing w:line="50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0.48</w:t>
            </w:r>
          </w:p>
        </w:tc>
        <w:tc>
          <w:tcPr>
            <w:tcW w:w="2414" w:type="dxa"/>
            <w:vMerge w:val="continue"/>
            <w:noWrap w:val="0"/>
            <w:vAlign w:val="center"/>
          </w:tcPr>
          <w:p>
            <w:pPr>
              <w:pStyle w:val="473"/>
              <w:pageBreakBefore w:val="0"/>
              <w:kinsoku/>
              <w:bidi w:val="0"/>
              <w:spacing w:line="500" w:lineRule="exact"/>
              <w:jc w:val="center"/>
              <w:rPr>
                <w:rFonts w:hint="default" w:ascii="Times New Roman" w:hAnsi="Times New Roman" w:cs="Times New Roman"/>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839" w:type="dxa"/>
            <w:noWrap w:val="0"/>
            <w:vAlign w:val="center"/>
          </w:tcPr>
          <w:p>
            <w:pPr>
              <w:pStyle w:val="473"/>
              <w:pageBreakBefore w:val="0"/>
              <w:kinsoku/>
              <w:bidi w:val="0"/>
              <w:spacing w:line="50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合计</w:t>
            </w:r>
          </w:p>
        </w:tc>
        <w:tc>
          <w:tcPr>
            <w:tcW w:w="2416" w:type="dxa"/>
            <w:noWrap w:val="0"/>
            <w:vAlign w:val="center"/>
          </w:tcPr>
          <w:p>
            <w:pPr>
              <w:pStyle w:val="473"/>
              <w:pageBreakBefore w:val="0"/>
              <w:kinsoku/>
              <w:bidi w:val="0"/>
              <w:spacing w:line="500" w:lineRule="exact"/>
              <w:jc w:val="center"/>
              <w:rPr>
                <w:rFonts w:hint="default" w:ascii="Times New Roman" w:hAnsi="Times New Roman" w:cs="Times New Roman"/>
                <w:szCs w:val="21"/>
                <w:lang w:val="en-US" w:eastAsia="zh-CN"/>
              </w:rPr>
            </w:pPr>
          </w:p>
        </w:tc>
        <w:tc>
          <w:tcPr>
            <w:tcW w:w="2617" w:type="dxa"/>
            <w:gridSpan w:val="3"/>
            <w:noWrap w:val="0"/>
            <w:vAlign w:val="center"/>
          </w:tcPr>
          <w:p>
            <w:pPr>
              <w:pStyle w:val="473"/>
              <w:pageBreakBefore w:val="0"/>
              <w:kinsoku/>
              <w:bidi w:val="0"/>
              <w:spacing w:line="50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1.34</w:t>
            </w:r>
          </w:p>
        </w:tc>
        <w:tc>
          <w:tcPr>
            <w:tcW w:w="2414" w:type="dxa"/>
            <w:noWrap w:val="0"/>
            <w:vAlign w:val="center"/>
          </w:tcPr>
          <w:p>
            <w:pPr>
              <w:pStyle w:val="473"/>
              <w:pageBreakBefore w:val="0"/>
              <w:kinsoku/>
              <w:bidi w:val="0"/>
              <w:spacing w:line="500" w:lineRule="exact"/>
              <w:jc w:val="center"/>
              <w:rPr>
                <w:rFonts w:hint="default" w:ascii="Times New Roman" w:hAnsi="Times New Roman" w:cs="Times New Roman"/>
                <w:szCs w:val="21"/>
                <w:lang w:val="en-US" w:eastAsia="zh-CN"/>
              </w:rPr>
            </w:pPr>
          </w:p>
        </w:tc>
      </w:tr>
    </w:tbl>
    <w:p>
      <w:pPr>
        <w:pStyle w:val="459"/>
        <w:pageBreakBefore w:val="0"/>
        <w:kinsoku/>
        <w:bidi w:val="0"/>
        <w:spacing w:line="500" w:lineRule="exact"/>
        <w:ind w:firstLine="420" w:firstLineChars="200"/>
        <w:jc w:val="both"/>
        <w:rPr>
          <w:rFonts w:hint="default" w:ascii="Times New Roman" w:hAnsi="Times New Roman" w:cs="Times New Roman"/>
          <w:sz w:val="21"/>
          <w:szCs w:val="21"/>
        </w:rPr>
      </w:pPr>
      <w:r>
        <w:rPr>
          <w:rFonts w:hint="default" w:ascii="Times New Roman" w:hAnsi="Times New Roman" w:cs="Times New Roman"/>
          <w:sz w:val="21"/>
          <w:szCs w:val="21"/>
        </w:rPr>
        <w:t>注：施工临时设施区及临时堆土区占地均为征地红线内，因此其面积不计入总面积内。</w:t>
      </w:r>
    </w:p>
    <w:p>
      <w:pPr>
        <w:rPr>
          <w:rFonts w:hint="default" w:ascii="Times New Roman" w:hAnsi="Times New Roman" w:cs="Times New Roman"/>
        </w:rPr>
      </w:pPr>
    </w:p>
    <w:p>
      <w:pPr>
        <w:pStyle w:val="4"/>
        <w:rPr>
          <w:rFonts w:hint="default" w:ascii="Times New Roman" w:hAnsi="Times New Roman" w:cs="Times New Roman"/>
        </w:rPr>
      </w:pPr>
      <w:r>
        <w:rPr>
          <w:rFonts w:hint="default" w:ascii="Times New Roman" w:hAnsi="Times New Roman" w:cs="Times New Roman"/>
        </w:rPr>
        <w:t>1.1.5施工组织及工期</w:t>
      </w:r>
    </w:p>
    <w:p>
      <w:pPr>
        <w:pStyle w:val="440"/>
        <w:ind w:firstLine="480"/>
        <w:rPr>
          <w:rFonts w:hint="default" w:ascii="Times New Roman" w:hAnsi="Times New Roman" w:cs="Times New Roman" w:eastAsiaTheme="minorEastAsia"/>
          <w:lang w:eastAsia="zh-CN"/>
        </w:rPr>
      </w:pPr>
      <w:r>
        <w:rPr>
          <w:rFonts w:hint="default" w:ascii="Times New Roman" w:hAnsi="Times New Roman" w:cs="Times New Roman" w:eastAsiaTheme="minorEastAsia"/>
          <w:kern w:val="2"/>
          <w:sz w:val="24"/>
          <w:szCs w:val="28"/>
          <w:lang w:val="en-US" w:eastAsia="zh-CN" w:bidi="ar-SA"/>
        </w:rPr>
        <w:t>泸州市江阳区蓝田街道重湾（干坝子）安置房建设工程</w:t>
      </w:r>
      <w:r>
        <w:rPr>
          <w:rFonts w:hint="default" w:ascii="Times New Roman" w:hAnsi="Times New Roman" w:cs="Times New Roman"/>
        </w:rPr>
        <w:t>，项目于2015年</w:t>
      </w:r>
      <w:r>
        <w:rPr>
          <w:rFonts w:hint="default" w:ascii="Times New Roman" w:hAnsi="Times New Roman" w:cs="Times New Roman"/>
          <w:lang w:val="en-US" w:eastAsia="zh-CN"/>
        </w:rPr>
        <w:t>9</w:t>
      </w:r>
      <w:r>
        <w:rPr>
          <w:rFonts w:hint="default" w:ascii="Times New Roman" w:hAnsi="Times New Roman" w:cs="Times New Roman"/>
        </w:rPr>
        <w:t>月开工，计划于2017年</w:t>
      </w:r>
      <w:r>
        <w:rPr>
          <w:rFonts w:hint="default" w:ascii="Times New Roman" w:hAnsi="Times New Roman" w:cs="Times New Roman"/>
          <w:lang w:val="en-US" w:eastAsia="zh-CN"/>
        </w:rPr>
        <w:t>8</w:t>
      </w:r>
      <w:r>
        <w:rPr>
          <w:rFonts w:hint="default" w:ascii="Times New Roman" w:hAnsi="Times New Roman" w:cs="Times New Roman"/>
        </w:rPr>
        <w:t>月竣工，工期为2年</w:t>
      </w:r>
      <w:r>
        <w:rPr>
          <w:rFonts w:hint="default" w:ascii="Times New Roman" w:hAnsi="Times New Roman" w:cs="Times New Roman"/>
          <w:lang w:eastAsia="zh-CN"/>
        </w:rPr>
        <w:t>。</w:t>
      </w:r>
    </w:p>
    <w:p>
      <w:pPr>
        <w:pStyle w:val="440"/>
        <w:ind w:firstLine="480"/>
        <w:rPr>
          <w:rFonts w:hint="default" w:ascii="Times New Roman" w:hAnsi="Times New Roman" w:cs="Times New Roman"/>
        </w:rPr>
      </w:pPr>
      <w:r>
        <w:rPr>
          <w:rFonts w:hint="default" w:ascii="Times New Roman" w:hAnsi="Times New Roman" w:cs="Times New Roman"/>
        </w:rPr>
        <w:t>水土保持措施实施进度见表</w:t>
      </w:r>
      <w:r>
        <w:rPr>
          <w:rFonts w:hint="default" w:ascii="Times New Roman" w:hAnsi="Times New Roman" w:cs="Times New Roman"/>
          <w:lang w:val="en-US" w:eastAsia="zh-CN"/>
        </w:rPr>
        <w:t>1</w:t>
      </w:r>
      <w:r>
        <w:rPr>
          <w:rFonts w:hint="default" w:ascii="Times New Roman" w:hAnsi="Times New Roman" w:cs="Times New Roman"/>
        </w:rPr>
        <w:t>-</w:t>
      </w:r>
      <w:r>
        <w:rPr>
          <w:rFonts w:hint="default" w:ascii="Times New Roman" w:hAnsi="Times New Roman" w:cs="Times New Roman"/>
          <w:lang w:val="en-US" w:eastAsia="zh-CN"/>
        </w:rPr>
        <w:t>2</w:t>
      </w:r>
      <w:r>
        <w:rPr>
          <w:rFonts w:hint="default" w:ascii="Times New Roman" w:hAnsi="Times New Roman" w:cs="Times New Roman"/>
        </w:rPr>
        <w:t>。</w:t>
      </w:r>
    </w:p>
    <w:p>
      <w:pPr>
        <w:pStyle w:val="32"/>
        <w:ind w:firstLine="480"/>
        <w:rPr>
          <w:rFonts w:hint="default" w:ascii="Times New Roman" w:hAnsi="Times New Roman" w:cs="Times New Roman"/>
        </w:rPr>
      </w:pPr>
      <w:r>
        <w:rPr>
          <w:rFonts w:hint="default" w:ascii="Times New Roman" w:hAnsi="Times New Roman" w:cs="Times New Roman"/>
        </w:rPr>
        <w:t>表</w:t>
      </w:r>
      <w:r>
        <w:rPr>
          <w:rFonts w:hint="default" w:ascii="Times New Roman" w:hAnsi="Times New Roman" w:cs="Times New Roman"/>
          <w:lang w:val="en-US" w:eastAsia="zh-CN"/>
        </w:rPr>
        <w:t>1</w:t>
      </w:r>
      <w:r>
        <w:rPr>
          <w:rFonts w:hint="default" w:ascii="Times New Roman" w:hAnsi="Times New Roman" w:cs="Times New Roman"/>
        </w:rPr>
        <w:t>-</w:t>
      </w:r>
      <w:r>
        <w:rPr>
          <w:rFonts w:hint="default" w:ascii="Times New Roman" w:hAnsi="Times New Roman" w:cs="Times New Roman"/>
          <w:lang w:val="en-US" w:eastAsia="zh-CN"/>
        </w:rPr>
        <w:t>2</w:t>
      </w:r>
      <w:r>
        <w:rPr>
          <w:rFonts w:hint="default" w:ascii="Times New Roman" w:hAnsi="Times New Roman" w:cs="Times New Roman"/>
        </w:rPr>
        <w:t xml:space="preserve">  </w:t>
      </w:r>
      <w:r>
        <w:rPr>
          <w:rFonts w:hint="default" w:ascii="Times New Roman" w:hAnsi="Times New Roman" w:cs="Times New Roman"/>
          <w:lang w:val="en-US" w:eastAsia="zh-CN"/>
        </w:rPr>
        <w:t>主体工程</w:t>
      </w:r>
      <w:r>
        <w:rPr>
          <w:rFonts w:hint="default" w:ascii="Times New Roman" w:hAnsi="Times New Roman" w:cs="Times New Roman"/>
        </w:rPr>
        <w:t>施工进度图</w:t>
      </w:r>
    </w:p>
    <w:p>
      <w:pPr>
        <w:rPr>
          <w:rFonts w:hint="default" w:ascii="Times New Roman" w:hAnsi="Times New Roman" w:cs="Times New Roman"/>
        </w:rPr>
      </w:pPr>
    </w:p>
    <w:tbl>
      <w:tblPr>
        <w:tblStyle w:val="46"/>
        <w:tblW w:w="6672"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1221"/>
        <w:gridCol w:w="518"/>
        <w:gridCol w:w="586"/>
        <w:gridCol w:w="468"/>
        <w:gridCol w:w="602"/>
        <w:gridCol w:w="689"/>
        <w:gridCol w:w="650"/>
        <w:gridCol w:w="638"/>
        <w:gridCol w:w="650"/>
        <w:gridCol w:w="65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1221" w:type="dxa"/>
            <w:vMerge w:val="restart"/>
            <w:vAlign w:val="center"/>
          </w:tcPr>
          <w:p>
            <w:pPr>
              <w:pStyle w:val="158"/>
              <w:keepNext w:val="0"/>
              <w:keepLines w:val="0"/>
              <w:suppressLineNumbers w:val="0"/>
              <w:spacing w:before="0" w:beforeAutospacing="0" w:afterAutospacing="0"/>
              <w:ind w:left="0" w:right="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工程项目</w:t>
            </w:r>
          </w:p>
        </w:tc>
        <w:tc>
          <w:tcPr>
            <w:tcW w:w="1572" w:type="dxa"/>
            <w:gridSpan w:val="3"/>
            <w:vAlign w:val="center"/>
          </w:tcPr>
          <w:p>
            <w:pPr>
              <w:pStyle w:val="158"/>
              <w:keepNext w:val="0"/>
              <w:keepLines w:val="0"/>
              <w:suppressLineNumbers w:val="0"/>
              <w:spacing w:before="0" w:beforeAutospacing="0" w:afterAutospacing="0"/>
              <w:ind w:left="0" w:right="0"/>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2015</w:t>
            </w:r>
          </w:p>
        </w:tc>
        <w:tc>
          <w:tcPr>
            <w:tcW w:w="1941" w:type="dxa"/>
            <w:gridSpan w:val="3"/>
            <w:vAlign w:val="center"/>
          </w:tcPr>
          <w:p>
            <w:pPr>
              <w:pStyle w:val="158"/>
              <w:keepNext w:val="0"/>
              <w:keepLines w:val="0"/>
              <w:suppressLineNumbers w:val="0"/>
              <w:spacing w:before="0" w:beforeAutospacing="0" w:afterAutospacing="0"/>
              <w:ind w:left="0" w:right="0"/>
              <w:rPr>
                <w:rFonts w:hint="default" w:ascii="Times New Roman" w:hAnsi="Times New Roman" w:eastAsia="仿宋" w:cs="Times New Roman"/>
                <w:color w:val="auto"/>
                <w:lang w:val="en-US" w:eastAsia="zh-CN"/>
              </w:rPr>
            </w:pPr>
            <w:r>
              <w:rPr>
                <w:rFonts w:hint="default" w:ascii="Times New Roman" w:hAnsi="Times New Roman" w:cs="Times New Roman"/>
                <w:color w:val="auto"/>
                <w:lang w:val="en-US" w:eastAsia="zh-CN"/>
              </w:rPr>
              <w:t>2016</w:t>
            </w:r>
          </w:p>
        </w:tc>
        <w:tc>
          <w:tcPr>
            <w:tcW w:w="1938" w:type="dxa"/>
            <w:gridSpan w:val="3"/>
          </w:tcPr>
          <w:p>
            <w:pPr>
              <w:pStyle w:val="158"/>
              <w:keepNext w:val="0"/>
              <w:keepLines w:val="0"/>
              <w:suppressLineNumbers w:val="0"/>
              <w:spacing w:before="0" w:beforeAutospacing="0" w:afterAutospacing="0"/>
              <w:ind w:left="0" w:right="0"/>
              <w:rPr>
                <w:rFonts w:hint="default" w:ascii="Times New Roman" w:hAnsi="Times New Roman" w:eastAsia="仿宋" w:cs="Times New Roman"/>
                <w:color w:val="auto"/>
                <w:lang w:val="en-US" w:eastAsia="zh-CN"/>
              </w:rPr>
            </w:pPr>
            <w:r>
              <w:rPr>
                <w:rFonts w:hint="default" w:ascii="Times New Roman" w:hAnsi="Times New Roman" w:cs="Times New Roman"/>
                <w:color w:val="auto"/>
                <w:lang w:val="en-US" w:eastAsia="zh-CN"/>
              </w:rPr>
              <w:t>2017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1221" w:type="dxa"/>
            <w:vMerge w:val="continue"/>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518" w:type="dxa"/>
            <w:vAlign w:val="center"/>
          </w:tcPr>
          <w:p>
            <w:pPr>
              <w:pStyle w:val="158"/>
              <w:keepNext w:val="0"/>
              <w:keepLines w:val="0"/>
              <w:suppressLineNumbers w:val="0"/>
              <w:spacing w:before="0" w:beforeAutospacing="0" w:afterAutospacing="0"/>
              <w:ind w:left="0" w:leftChars="0" w:right="0" w:rightChars="0"/>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~4</w:t>
            </w:r>
          </w:p>
        </w:tc>
        <w:tc>
          <w:tcPr>
            <w:tcW w:w="586" w:type="dxa"/>
            <w:vAlign w:val="center"/>
          </w:tcPr>
          <w:p>
            <w:pPr>
              <w:pStyle w:val="158"/>
              <w:keepNext w:val="0"/>
              <w:keepLines w:val="0"/>
              <w:suppressLineNumbers w:val="0"/>
              <w:spacing w:before="0" w:beforeAutospacing="0" w:afterAutospacing="0"/>
              <w:ind w:left="0" w:leftChars="0" w:right="0" w:right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5~8</w:t>
            </w:r>
          </w:p>
        </w:tc>
        <w:tc>
          <w:tcPr>
            <w:tcW w:w="468" w:type="dxa"/>
            <w:vAlign w:val="center"/>
          </w:tcPr>
          <w:p>
            <w:pPr>
              <w:pStyle w:val="158"/>
              <w:keepNext w:val="0"/>
              <w:keepLines w:val="0"/>
              <w:suppressLineNumbers w:val="0"/>
              <w:spacing w:before="0" w:beforeAutospacing="0" w:afterAutospacing="0"/>
              <w:ind w:left="0" w:leftChars="0" w:right="0" w:right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9~12</w:t>
            </w:r>
          </w:p>
        </w:tc>
        <w:tc>
          <w:tcPr>
            <w:tcW w:w="602" w:type="dxa"/>
            <w:vAlign w:val="center"/>
          </w:tcPr>
          <w:p>
            <w:pPr>
              <w:pStyle w:val="158"/>
              <w:keepNext w:val="0"/>
              <w:keepLines w:val="0"/>
              <w:suppressLineNumbers w:val="0"/>
              <w:spacing w:before="0" w:beforeAutospacing="0" w:afterAutospacing="0"/>
              <w:ind w:left="0" w:leftChars="0" w:right="0" w:rightChars="0"/>
              <w:rPr>
                <w:rFonts w:hint="default" w:ascii="Times New Roman" w:hAnsi="Times New Roman" w:cs="Times New Roman"/>
                <w:color w:val="auto"/>
                <w:lang w:val="en-US" w:eastAsia="zh-CN"/>
              </w:rPr>
            </w:pPr>
            <w:r>
              <w:rPr>
                <w:rFonts w:hint="default" w:ascii="Times New Roman" w:hAnsi="Times New Roman" w:cs="Times New Roman"/>
                <w:color w:val="auto"/>
              </w:rPr>
              <w:t>1</w:t>
            </w:r>
            <w:r>
              <w:rPr>
                <w:rFonts w:hint="default" w:ascii="Times New Roman" w:hAnsi="Times New Roman" w:cs="Times New Roman"/>
                <w:color w:val="auto"/>
                <w:lang w:val="en-US" w:eastAsia="zh-CN"/>
              </w:rPr>
              <w:t>~4</w:t>
            </w:r>
          </w:p>
        </w:tc>
        <w:tc>
          <w:tcPr>
            <w:tcW w:w="689" w:type="dxa"/>
            <w:vAlign w:val="center"/>
          </w:tcPr>
          <w:p>
            <w:pPr>
              <w:pStyle w:val="158"/>
              <w:keepNext w:val="0"/>
              <w:keepLines w:val="0"/>
              <w:suppressLineNumbers w:val="0"/>
              <w:spacing w:before="0" w:beforeAutospacing="0" w:afterAutospacing="0"/>
              <w:ind w:left="0" w:leftChars="0" w:right="0" w:right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5~8</w:t>
            </w:r>
          </w:p>
        </w:tc>
        <w:tc>
          <w:tcPr>
            <w:tcW w:w="650" w:type="dxa"/>
            <w:vAlign w:val="center"/>
          </w:tcPr>
          <w:p>
            <w:pPr>
              <w:pStyle w:val="158"/>
              <w:keepNext w:val="0"/>
              <w:keepLines w:val="0"/>
              <w:suppressLineNumbers w:val="0"/>
              <w:spacing w:before="0" w:beforeAutospacing="0" w:afterAutospacing="0"/>
              <w:ind w:left="0" w:leftChars="0" w:right="0" w:right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9~12</w:t>
            </w:r>
          </w:p>
        </w:tc>
        <w:tc>
          <w:tcPr>
            <w:tcW w:w="638" w:type="dxa"/>
            <w:vAlign w:val="center"/>
          </w:tcPr>
          <w:p>
            <w:pPr>
              <w:pStyle w:val="158"/>
              <w:keepNext w:val="0"/>
              <w:keepLines w:val="0"/>
              <w:suppressLineNumbers w:val="0"/>
              <w:spacing w:before="0" w:beforeAutospacing="0" w:afterAutospacing="0"/>
              <w:ind w:left="0" w:leftChars="0" w:right="0" w:rightChars="0"/>
              <w:rPr>
                <w:rFonts w:hint="default" w:ascii="Times New Roman" w:hAnsi="Times New Roman" w:cs="Times New Roman"/>
                <w:color w:val="auto"/>
                <w:lang w:val="en-US" w:eastAsia="zh-CN"/>
              </w:rPr>
            </w:pPr>
            <w:r>
              <w:rPr>
                <w:rFonts w:hint="default" w:ascii="Times New Roman" w:hAnsi="Times New Roman" w:cs="Times New Roman"/>
                <w:color w:val="auto"/>
              </w:rPr>
              <w:t>1</w:t>
            </w:r>
            <w:r>
              <w:rPr>
                <w:rFonts w:hint="default" w:ascii="Times New Roman" w:hAnsi="Times New Roman" w:cs="Times New Roman"/>
                <w:color w:val="auto"/>
                <w:lang w:val="en-US" w:eastAsia="zh-CN"/>
              </w:rPr>
              <w:t>~4</w:t>
            </w:r>
          </w:p>
        </w:tc>
        <w:tc>
          <w:tcPr>
            <w:tcW w:w="650" w:type="dxa"/>
            <w:vAlign w:val="center"/>
          </w:tcPr>
          <w:p>
            <w:pPr>
              <w:pStyle w:val="158"/>
              <w:keepNext w:val="0"/>
              <w:keepLines w:val="0"/>
              <w:suppressLineNumbers w:val="0"/>
              <w:spacing w:before="0" w:beforeAutospacing="0" w:afterAutospacing="0"/>
              <w:ind w:left="0" w:leftChars="0" w:right="0" w:right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5~8</w:t>
            </w:r>
          </w:p>
        </w:tc>
        <w:tc>
          <w:tcPr>
            <w:tcW w:w="650" w:type="dxa"/>
            <w:vAlign w:val="center"/>
          </w:tcPr>
          <w:p>
            <w:pPr>
              <w:pStyle w:val="158"/>
              <w:keepNext w:val="0"/>
              <w:keepLines w:val="0"/>
              <w:suppressLineNumbers w:val="0"/>
              <w:spacing w:before="0" w:beforeAutospacing="0" w:afterAutospacing="0"/>
              <w:ind w:left="0" w:leftChars="0" w:right="0" w:right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9~12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359" w:hRule="atLeast"/>
          <w:jc w:val="center"/>
        </w:trPr>
        <w:tc>
          <w:tcPr>
            <w:tcW w:w="1221"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r>
              <w:rPr>
                <w:rFonts w:hint="default" w:ascii="Times New Roman" w:hAnsi="Times New Roman" w:cs="Times New Roman"/>
                <w:color w:val="auto"/>
              </w:rPr>
              <w:t>准备期</w:t>
            </w:r>
          </w:p>
        </w:tc>
        <w:tc>
          <w:tcPr>
            <w:tcW w:w="518"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586"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r>
              <w:rPr>
                <w:rFonts w:hint="default" w:ascii="Times New Roman" w:hAnsi="Times New Roman" w:cs="Times New Roman"/>
                <w:color w:val="auto"/>
              </w:rPr>
              <w:pict>
                <v:shape id="自选图形 393" o:spid="_x0000_s2051" o:spt="32" type="#_x0000_t32" style="position:absolute;left:0pt;margin-left:20.85pt;margin-top:11pt;height:0.5pt;width:15.3pt;z-index:254788608;mso-width-relative:page;mso-height-relative:page;" filled="f" stroked="t" coordsize="21600,21600">
                  <v:path arrowok="t"/>
                  <v:fill on="f" focussize="0,0"/>
                  <v:stroke weight="2pt" color="#000000"/>
                  <v:imagedata o:title=""/>
                  <o:lock v:ext="edit" aspectratio="f"/>
                </v:shape>
              </w:pict>
            </w:r>
          </w:p>
        </w:tc>
        <w:tc>
          <w:tcPr>
            <w:tcW w:w="468"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02"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89"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50"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38"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50"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50"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1221"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r>
              <w:rPr>
                <w:rFonts w:hint="default" w:ascii="Times New Roman" w:hAnsi="Times New Roman" w:cs="Times New Roman"/>
                <w:color w:val="auto"/>
              </w:rPr>
              <w:t>建构筑物工程区</w:t>
            </w:r>
          </w:p>
        </w:tc>
        <w:tc>
          <w:tcPr>
            <w:tcW w:w="518"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586"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r>
              <w:rPr>
                <w:rFonts w:hint="default" w:ascii="Times New Roman" w:hAnsi="Times New Roman" w:cs="Times New Roman"/>
                <w:color w:val="auto"/>
              </w:rPr>
              <w:pict>
                <v:shape id="自选图形 394" o:spid="_x0000_s2052" o:spt="32" type="#_x0000_t32" style="position:absolute;left:0pt;margin-left:28.7pt;margin-top:13.8pt;height:0.55pt;width:140.95pt;z-index:254789632;mso-width-relative:page;mso-height-relative:page;" filled="f" stroked="t" coordsize="21600,21600">
                  <v:path arrowok="t"/>
                  <v:fill on="f" focussize="0,0"/>
                  <v:stroke weight="2pt" color="#000000"/>
                  <v:imagedata o:title=""/>
                  <o:lock v:ext="edit" aspectratio="f"/>
                </v:shape>
              </w:pict>
            </w:r>
          </w:p>
        </w:tc>
        <w:tc>
          <w:tcPr>
            <w:tcW w:w="468"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02"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89"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50"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38"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50"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50"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1221"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r>
              <w:rPr>
                <w:rFonts w:hint="default" w:ascii="Times New Roman" w:hAnsi="Times New Roman" w:cs="Times New Roman"/>
                <w:color w:val="auto"/>
              </w:rPr>
              <w:t>道路广场工程区</w:t>
            </w:r>
          </w:p>
        </w:tc>
        <w:tc>
          <w:tcPr>
            <w:tcW w:w="518"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586"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468"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02"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89"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r>
              <w:rPr>
                <w:rFonts w:hint="default" w:ascii="Times New Roman" w:hAnsi="Times New Roman" w:cs="Times New Roman"/>
                <w:color w:val="auto"/>
              </w:rPr>
              <w:pict>
                <v:shape id="自选图形 395" o:spid="_x0000_s2053" o:spt="32" type="#_x0000_t32" style="position:absolute;left:0pt;margin-left:21.7pt;margin-top:15.85pt;height:0pt;width:91.6pt;z-index:254790656;mso-width-relative:page;mso-height-relative:page;" filled="f" stroked="t" coordsize="21600,21600">
                  <v:path arrowok="t"/>
                  <v:fill on="f" focussize="0,0"/>
                  <v:stroke weight="2pt" color="#000000"/>
                  <v:imagedata o:title=""/>
                  <o:lock v:ext="edit" aspectratio="f"/>
                </v:shape>
              </w:pict>
            </w:r>
          </w:p>
        </w:tc>
        <w:tc>
          <w:tcPr>
            <w:tcW w:w="650"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38"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50"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50"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1221"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r>
              <w:rPr>
                <w:rFonts w:hint="default" w:ascii="Times New Roman" w:hAnsi="Times New Roman" w:cs="Times New Roman"/>
                <w:color w:val="auto"/>
              </w:rPr>
              <w:t>景观绿化工程区</w:t>
            </w:r>
          </w:p>
        </w:tc>
        <w:tc>
          <w:tcPr>
            <w:tcW w:w="518"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586"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468"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02"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89"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50"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38"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r>
              <w:rPr>
                <w:rFonts w:hint="default" w:ascii="Times New Roman" w:hAnsi="Times New Roman" w:cs="Times New Roman"/>
                <w:color w:val="auto"/>
              </w:rPr>
              <w:pict>
                <v:shape id="自选图形 396" o:spid="_x0000_s2054" o:spt="32" type="#_x0000_t32" style="position:absolute;left:0pt;margin-left:-0.2pt;margin-top:15.05pt;height:0.1pt;width:61.05pt;z-index:254791680;mso-width-relative:page;mso-height-relative:page;" filled="f" coordsize="21600,21600">
                  <v:path arrowok="t"/>
                  <v:fill on="f" focussize="0,0"/>
                  <v:stroke weight="2pt"/>
                  <v:imagedata o:title=""/>
                  <o:lock v:ext="edit"/>
                </v:shape>
              </w:pict>
            </w:r>
          </w:p>
        </w:tc>
        <w:tc>
          <w:tcPr>
            <w:tcW w:w="650"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50"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1221"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r>
              <w:rPr>
                <w:rFonts w:hint="default" w:ascii="Times New Roman" w:hAnsi="Times New Roman" w:cs="Times New Roman"/>
                <w:color w:val="auto"/>
              </w:rPr>
              <w:t>竣工期</w:t>
            </w:r>
          </w:p>
        </w:tc>
        <w:tc>
          <w:tcPr>
            <w:tcW w:w="518"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586"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468"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02"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89"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50"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38"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50"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r>
              <w:rPr>
                <w:rFonts w:hint="default" w:ascii="Times New Roman" w:hAnsi="Times New Roman" w:cs="Times New Roman"/>
                <w:color w:val="auto"/>
              </w:rPr>
              <w:pict>
                <v:shape id="_x0000_s2055" o:spid="_x0000_s2055" o:spt="32" type="#_x0000_t32" style="position:absolute;left:0pt;margin-left:22.95pt;margin-top:7.35pt;height:0.5pt;width:15.3pt;z-index:257923072;mso-width-relative:page;mso-height-relative:page;" filled="f" stroked="t" coordsize="21600,21600">
                  <v:path arrowok="t"/>
                  <v:fill on="f" focussize="0,0"/>
                  <v:stroke weight="2pt" color="#000000"/>
                  <v:imagedata o:title=""/>
                  <o:lock v:ext="edit" aspectratio="f"/>
                </v:shape>
              </w:pict>
            </w:r>
          </w:p>
        </w:tc>
        <w:tc>
          <w:tcPr>
            <w:tcW w:w="650"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r>
    </w:tbl>
    <w:p>
      <w:pPr>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r>
        <w:rPr>
          <w:rFonts w:hint="default" w:ascii="Times New Roman" w:hAnsi="Times New Roman" w:cs="Times New Roman"/>
        </w:rPr>
        <w:t>1.1.6土石方情况</w:t>
      </w:r>
    </w:p>
    <w:p>
      <w:pPr>
        <w:pStyle w:val="440"/>
        <w:ind w:left="0" w:leftChars="0" w:firstLine="480" w:firstLineChars="200"/>
        <w:rPr>
          <w:rFonts w:hint="default" w:ascii="Times New Roman" w:hAnsi="Times New Roman" w:cs="Times New Roman"/>
        </w:rPr>
      </w:pPr>
      <w:r>
        <w:rPr>
          <w:rFonts w:hint="default" w:ascii="Times New Roman" w:hAnsi="Times New Roman" w:cs="Times New Roman"/>
        </w:rPr>
        <w:t xml:space="preserve">经土石方平衡分析，本工程总土石方开挖共29086.2m </w:t>
      </w:r>
      <w:r>
        <w:rPr>
          <w:rFonts w:hint="default" w:ascii="Times New Roman" w:hAnsi="Times New Roman" w:cs="Times New Roman"/>
          <w:vertAlign w:val="superscript"/>
        </w:rPr>
        <w:t xml:space="preserve">3 </w:t>
      </w:r>
      <w:r>
        <w:rPr>
          <w:rFonts w:hint="default" w:ascii="Times New Roman" w:hAnsi="Times New Roman" w:cs="Times New Roman"/>
        </w:rPr>
        <w:t xml:space="preserve">(自然方，下同)，其中包括剥离表土3675.0 m </w:t>
      </w:r>
      <w:r>
        <w:rPr>
          <w:rFonts w:hint="default" w:ascii="Times New Roman" w:hAnsi="Times New Roman" w:cs="Times New Roman"/>
          <w:vertAlign w:val="superscript"/>
        </w:rPr>
        <w:t>3</w:t>
      </w:r>
      <w:r>
        <w:rPr>
          <w:rFonts w:hint="default" w:ascii="Times New Roman" w:hAnsi="Times New Roman" w:cs="Times New Roman"/>
        </w:rPr>
        <w:t xml:space="preserve"> ，工程土石方回填及利用6824.3m </w:t>
      </w:r>
      <w:r>
        <w:rPr>
          <w:rFonts w:hint="default" w:ascii="Times New Roman" w:hAnsi="Times New Roman" w:cs="Times New Roman"/>
          <w:vertAlign w:val="superscript"/>
        </w:rPr>
        <w:t>3</w:t>
      </w:r>
      <w:r>
        <w:rPr>
          <w:rFonts w:hint="default" w:ascii="Times New Roman" w:hAnsi="Times New Roman" w:cs="Times New Roman"/>
        </w:rPr>
        <w:t xml:space="preserve"> ，其中包括剥离表土</w:t>
      </w:r>
    </w:p>
    <w:p>
      <w:pPr>
        <w:pStyle w:val="440"/>
        <w:ind w:left="0" w:leftChars="0" w:firstLine="0" w:firstLineChars="0"/>
        <w:rPr>
          <w:rFonts w:hint="default" w:ascii="Times New Roman" w:hAnsi="Times New Roman" w:cs="Times New Roman"/>
        </w:rPr>
      </w:pPr>
      <w:r>
        <w:rPr>
          <w:rFonts w:hint="default" w:ascii="Times New Roman" w:hAnsi="Times New Roman" w:cs="Times New Roman"/>
        </w:rPr>
        <w:t xml:space="preserve">3675.0m </w:t>
      </w:r>
      <w:r>
        <w:rPr>
          <w:rFonts w:hint="default" w:ascii="Times New Roman" w:hAnsi="Times New Roman" w:cs="Times New Roman"/>
          <w:vertAlign w:val="superscript"/>
        </w:rPr>
        <w:t>3</w:t>
      </w:r>
      <w:r>
        <w:rPr>
          <w:rFonts w:hint="default" w:ascii="Times New Roman" w:hAnsi="Times New Roman" w:cs="Times New Roman"/>
        </w:rPr>
        <w:t xml:space="preserve"> ，弃方量（无剥离表土）为22261.9 m </w:t>
      </w:r>
      <w:r>
        <w:rPr>
          <w:rFonts w:hint="default" w:ascii="Times New Roman" w:hAnsi="Times New Roman" w:cs="Times New Roman"/>
          <w:vertAlign w:val="superscript"/>
        </w:rPr>
        <w:t>3</w:t>
      </w:r>
      <w:r>
        <w:rPr>
          <w:rFonts w:hint="default" w:ascii="Times New Roman" w:hAnsi="Times New Roman" w:cs="Times New Roman"/>
        </w:rPr>
        <w:t xml:space="preserve"> 。本工程在实施过程中产生的临时未利用的土石方由四川中奇建筑工程有限公司运送至江阳区绕城环线规划绿地区进行处置。运输过程中要求采取对车辆运输的弃土进行遮盖，江阳区绕城环线规划绿地区的环境保护、水土保持、排水设施等一切与弃土场地相关的由四川中奇建筑工程有限公司负责，由江阳区水务局、江阳区城乡环境卫生管理局进行监管。</w:t>
      </w:r>
    </w:p>
    <w:p>
      <w:pPr>
        <w:pStyle w:val="4"/>
        <w:rPr>
          <w:rFonts w:hint="default" w:ascii="Times New Roman" w:hAnsi="Times New Roman" w:cs="Times New Roman"/>
        </w:rPr>
      </w:pPr>
      <w:r>
        <w:rPr>
          <w:rFonts w:hint="default" w:ascii="Times New Roman" w:hAnsi="Times New Roman" w:cs="Times New Roman"/>
        </w:rPr>
        <w:t>1.1.7征占地情况</w:t>
      </w:r>
    </w:p>
    <w:p>
      <w:pPr>
        <w:pageBreakBefore w:val="0"/>
        <w:kinsoku/>
        <w:bidi w:val="0"/>
        <w:spacing w:line="500" w:lineRule="exact"/>
        <w:ind w:firstLine="480" w:firstLineChars="200"/>
        <w:rPr>
          <w:rFonts w:hint="default" w:ascii="Times New Roman" w:hAnsi="Times New Roman" w:cs="Times New Roman"/>
        </w:rPr>
      </w:pPr>
      <w:r>
        <w:rPr>
          <w:rFonts w:hint="default" w:ascii="Times New Roman" w:hAnsi="Times New Roman" w:cs="Times New Roman" w:eastAsiaTheme="minorEastAsia"/>
          <w:kern w:val="2"/>
          <w:sz w:val="24"/>
          <w:szCs w:val="28"/>
          <w:lang w:val="en-US" w:eastAsia="zh-CN" w:bidi="ar-SA"/>
        </w:rPr>
        <w:t>本工程地块总面积为9.84hm²，全部为永久占地，施工临时设施区及临时堆土区占地均为征地红线内，因此其面积不计入总面积内。据现场踏勘，按GB/T21010-2007《土地利用分类》二级标准划分，本项目占用土地类型主要旱地8.76hm²、坑塘水面0.12hm²，公路用地0.37 hm²，城镇宅基地0.59 hm²。泸州市江阳区蓝田梨子园安置房建设项目建设区范围详见下表。</w:t>
      </w:r>
    </w:p>
    <w:p>
      <w:pPr>
        <w:pStyle w:val="32"/>
        <w:ind w:firstLine="480"/>
        <w:rPr>
          <w:rFonts w:hint="default" w:ascii="Times New Roman" w:hAnsi="Times New Roman" w:cs="Times New Roman"/>
        </w:rPr>
      </w:pPr>
      <w:r>
        <w:rPr>
          <w:rFonts w:hint="default" w:ascii="Times New Roman" w:hAnsi="Times New Roman" w:cs="Times New Roman"/>
        </w:rPr>
        <w:t>表</w:t>
      </w:r>
      <w:r>
        <w:rPr>
          <w:rFonts w:hint="default" w:ascii="Times New Roman" w:hAnsi="Times New Roman" w:cs="Times New Roman"/>
          <w:lang w:val="en-US" w:eastAsia="zh-CN"/>
        </w:rPr>
        <w:t>1</w:t>
      </w:r>
      <w:r>
        <w:rPr>
          <w:rFonts w:hint="default" w:ascii="Times New Roman" w:hAnsi="Times New Roman" w:cs="Times New Roman"/>
        </w:rPr>
        <w:t>-3  工程验收范围占地类型表</w:t>
      </w:r>
    </w:p>
    <w:tbl>
      <w:tblPr>
        <w:tblStyle w:val="46"/>
        <w:tblW w:w="837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822"/>
        <w:gridCol w:w="1422"/>
        <w:gridCol w:w="1635"/>
        <w:gridCol w:w="1500"/>
        <w:gridCol w:w="10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2738" w:type="dxa"/>
            <w:gridSpan w:val="2"/>
            <w:vMerge w:val="restart"/>
            <w:shd w:val="clear" w:color="auto" w:fill="auto"/>
            <w:noWrap w:val="0"/>
            <w:vAlign w:val="center"/>
          </w:tcPr>
          <w:p>
            <w:pPr>
              <w:pStyle w:val="459"/>
              <w:pageBreakBefore w:val="0"/>
              <w:kinsoku/>
              <w:bidi w:val="0"/>
              <w:spacing w:line="500" w:lineRule="exact"/>
              <w:jc w:val="center"/>
              <w:rPr>
                <w:rFonts w:hint="default" w:ascii="Times New Roman" w:hAnsi="Times New Roman" w:cs="Times New Roman"/>
              </w:rPr>
            </w:pPr>
            <w:r>
              <w:rPr>
                <w:rFonts w:hint="default" w:ascii="Times New Roman" w:hAnsi="Times New Roman" w:cs="Times New Roman"/>
              </w:rPr>
              <w:t>项  目</w:t>
            </w:r>
          </w:p>
        </w:tc>
        <w:tc>
          <w:tcPr>
            <w:tcW w:w="5633" w:type="dxa"/>
            <w:gridSpan w:val="4"/>
            <w:shd w:val="clear" w:color="auto" w:fill="auto"/>
            <w:noWrap w:val="0"/>
            <w:vAlign w:val="center"/>
          </w:tcPr>
          <w:p>
            <w:pPr>
              <w:pStyle w:val="459"/>
              <w:pageBreakBefore w:val="0"/>
              <w:kinsoku/>
              <w:bidi w:val="0"/>
              <w:spacing w:line="500" w:lineRule="exact"/>
              <w:jc w:val="center"/>
              <w:rPr>
                <w:rFonts w:hint="default" w:ascii="Times New Roman" w:hAnsi="Times New Roman" w:cs="Times New Roman"/>
              </w:rPr>
            </w:pPr>
            <w:r>
              <w:rPr>
                <w:rFonts w:hint="default" w:ascii="Times New Roman" w:hAnsi="Times New Roman" w:cs="Times New Roman"/>
              </w:rPr>
              <w:t>占地类型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738" w:type="dxa"/>
            <w:gridSpan w:val="2"/>
            <w:vMerge w:val="continue"/>
            <w:shd w:val="clear" w:color="auto" w:fill="auto"/>
            <w:noWrap w:val="0"/>
            <w:vAlign w:val="center"/>
          </w:tcPr>
          <w:p>
            <w:pPr>
              <w:pStyle w:val="459"/>
              <w:pageBreakBefore w:val="0"/>
              <w:kinsoku/>
              <w:bidi w:val="0"/>
              <w:spacing w:line="500" w:lineRule="exact"/>
              <w:ind w:firstLine="440" w:firstLineChars="200"/>
              <w:jc w:val="center"/>
              <w:rPr>
                <w:rFonts w:hint="default" w:ascii="Times New Roman" w:hAnsi="Times New Roman" w:cs="Times New Roman"/>
              </w:rPr>
            </w:pPr>
          </w:p>
        </w:tc>
        <w:tc>
          <w:tcPr>
            <w:tcW w:w="1422" w:type="dxa"/>
            <w:shd w:val="clear" w:color="auto" w:fill="auto"/>
            <w:noWrap w:val="0"/>
            <w:vAlign w:val="center"/>
          </w:tcPr>
          <w:p>
            <w:pPr>
              <w:pStyle w:val="459"/>
              <w:pageBreakBefore w:val="0"/>
              <w:kinsoku/>
              <w:bidi w:val="0"/>
              <w:spacing w:line="500" w:lineRule="exact"/>
              <w:jc w:val="center"/>
              <w:rPr>
                <w:rFonts w:hint="default" w:ascii="Times New Roman" w:hAnsi="Times New Roman" w:cs="Times New Roman" w:eastAsiaTheme="minorEastAsia"/>
                <w:lang w:eastAsia="zh-CN"/>
              </w:rPr>
            </w:pPr>
            <w:r>
              <w:rPr>
                <w:rFonts w:hint="default" w:ascii="Times New Roman" w:hAnsi="Times New Roman" w:cs="Times New Roman"/>
                <w:lang w:val="en-US" w:eastAsia="zh-CN"/>
              </w:rPr>
              <w:t>耕地</w:t>
            </w:r>
          </w:p>
        </w:tc>
        <w:tc>
          <w:tcPr>
            <w:tcW w:w="1635" w:type="dxa"/>
            <w:shd w:val="clear" w:color="auto" w:fill="auto"/>
            <w:noWrap w:val="0"/>
            <w:vAlign w:val="center"/>
          </w:tcPr>
          <w:p>
            <w:pPr>
              <w:pStyle w:val="459"/>
              <w:pageBreakBefore w:val="0"/>
              <w:kinsoku/>
              <w:bidi w:val="0"/>
              <w:spacing w:line="500" w:lineRule="exact"/>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住宅用地</w:t>
            </w:r>
          </w:p>
        </w:tc>
        <w:tc>
          <w:tcPr>
            <w:tcW w:w="1500" w:type="dxa"/>
            <w:shd w:val="clear" w:color="auto" w:fill="auto"/>
            <w:noWrap w:val="0"/>
            <w:vAlign w:val="center"/>
          </w:tcPr>
          <w:p>
            <w:pPr>
              <w:pStyle w:val="459"/>
              <w:pageBreakBefore w:val="0"/>
              <w:kinsoku/>
              <w:bidi w:val="0"/>
              <w:spacing w:line="500" w:lineRule="exact"/>
              <w:jc w:val="center"/>
              <w:rPr>
                <w:rFonts w:hint="default" w:ascii="Times New Roman" w:hAnsi="Times New Roman" w:cs="Times New Roman" w:eastAsiaTheme="minorEastAsia"/>
                <w:lang w:eastAsia="zh-CN"/>
              </w:rPr>
            </w:pPr>
            <w:r>
              <w:rPr>
                <w:rFonts w:hint="default" w:ascii="Times New Roman" w:hAnsi="Times New Roman" w:cs="Times New Roman"/>
                <w:lang w:val="en-US" w:eastAsia="zh-CN"/>
              </w:rPr>
              <w:t>交通用地</w:t>
            </w:r>
          </w:p>
        </w:tc>
        <w:tc>
          <w:tcPr>
            <w:tcW w:w="1076" w:type="dxa"/>
            <w:shd w:val="clear" w:color="auto" w:fill="auto"/>
            <w:noWrap w:val="0"/>
            <w:vAlign w:val="center"/>
          </w:tcPr>
          <w:p>
            <w:pPr>
              <w:pStyle w:val="459"/>
              <w:pageBreakBefore w:val="0"/>
              <w:kinsoku/>
              <w:bidi w:val="0"/>
              <w:spacing w:line="500" w:lineRule="exact"/>
              <w:jc w:val="center"/>
              <w:rPr>
                <w:rFonts w:hint="default" w:ascii="Times New Roman" w:hAnsi="Times New Roman" w:cs="Times New Roman"/>
              </w:rPr>
            </w:pPr>
            <w:r>
              <w:rPr>
                <w:rFonts w:hint="default" w:ascii="Times New Roman" w:hAnsi="Times New Roman" w:cs="Times New Roman"/>
                <w:lang w:val="en-US" w:eastAsia="zh-CN"/>
              </w:rPr>
              <w:t>合</w:t>
            </w:r>
            <w:r>
              <w:rPr>
                <w:rFonts w:hint="default" w:ascii="Times New Roman" w:hAnsi="Times New Roman" w:cs="Times New Roman"/>
              </w:rPr>
              <w:t>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16" w:type="dxa"/>
            <w:vMerge w:val="restart"/>
            <w:shd w:val="clear" w:color="auto" w:fill="auto"/>
            <w:noWrap w:val="0"/>
            <w:vAlign w:val="center"/>
          </w:tcPr>
          <w:p>
            <w:pPr>
              <w:pStyle w:val="459"/>
              <w:pageBreakBefore w:val="0"/>
              <w:kinsoku/>
              <w:bidi w:val="0"/>
              <w:spacing w:line="500" w:lineRule="exact"/>
              <w:jc w:val="center"/>
              <w:rPr>
                <w:rFonts w:hint="default" w:ascii="Times New Roman" w:hAnsi="Times New Roman" w:cs="Times New Roman"/>
              </w:rPr>
            </w:pPr>
            <w:r>
              <w:rPr>
                <w:rFonts w:hint="default" w:ascii="Times New Roman" w:hAnsi="Times New Roman" w:cs="Times New Roman"/>
              </w:rPr>
              <w:t>项目建设永久占地</w:t>
            </w:r>
          </w:p>
        </w:tc>
        <w:tc>
          <w:tcPr>
            <w:tcW w:w="1822" w:type="dxa"/>
            <w:shd w:val="clear" w:color="auto" w:fill="auto"/>
            <w:noWrap w:val="0"/>
            <w:vAlign w:val="center"/>
          </w:tcPr>
          <w:p>
            <w:pPr>
              <w:pStyle w:val="459"/>
              <w:pageBreakBefore w:val="0"/>
              <w:kinsoku/>
              <w:bidi w:val="0"/>
              <w:spacing w:line="500" w:lineRule="exact"/>
              <w:jc w:val="center"/>
              <w:rPr>
                <w:rFonts w:hint="default" w:ascii="Times New Roman" w:hAnsi="Times New Roman" w:cs="Times New Roman"/>
              </w:rPr>
            </w:pPr>
            <w:r>
              <w:rPr>
                <w:rFonts w:hint="default" w:ascii="Times New Roman" w:hAnsi="Times New Roman" w:cs="Times New Roman"/>
              </w:rPr>
              <w:t>主体建筑区</w:t>
            </w:r>
          </w:p>
        </w:tc>
        <w:tc>
          <w:tcPr>
            <w:tcW w:w="1422" w:type="dxa"/>
            <w:shd w:val="clear" w:color="auto" w:fill="auto"/>
            <w:noWrap/>
            <w:vAlign w:val="center"/>
          </w:tcPr>
          <w:p>
            <w:pPr>
              <w:pStyle w:val="459"/>
              <w:pageBreakBefore w:val="0"/>
              <w:kinsoku/>
              <w:bidi w:val="0"/>
              <w:spacing w:line="500" w:lineRule="exact"/>
              <w:jc w:val="center"/>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2"/>
                <w:lang w:val="en-US" w:eastAsia="zh-CN"/>
              </w:rPr>
              <w:t>0.40</w:t>
            </w:r>
          </w:p>
        </w:tc>
        <w:tc>
          <w:tcPr>
            <w:tcW w:w="1635" w:type="dxa"/>
            <w:shd w:val="clear" w:color="auto" w:fill="auto"/>
            <w:noWrap w:val="0"/>
            <w:vAlign w:val="center"/>
          </w:tcPr>
          <w:p>
            <w:pPr>
              <w:pStyle w:val="459"/>
              <w:pageBreakBefore w:val="0"/>
              <w:kinsoku/>
              <w:bidi w:val="0"/>
              <w:spacing w:line="500" w:lineRule="exact"/>
              <w:jc w:val="center"/>
              <w:rPr>
                <w:rFonts w:hint="default" w:ascii="Times New Roman" w:hAnsi="Times New Roman" w:cs="Times New Roman" w:eastAsiaTheme="minorEastAsia"/>
                <w:lang w:val="en-US" w:eastAsia="zh-CN"/>
              </w:rPr>
            </w:pPr>
            <w:r>
              <w:rPr>
                <w:rFonts w:hint="default" w:ascii="Times New Roman" w:hAnsi="Times New Roman" w:cs="Times New Roman"/>
              </w:rPr>
              <w:t>0.</w:t>
            </w:r>
            <w:r>
              <w:rPr>
                <w:rFonts w:hint="default" w:ascii="Times New Roman" w:hAnsi="Times New Roman" w:cs="Times New Roman"/>
                <w:lang w:val="en-US" w:eastAsia="zh-CN"/>
              </w:rPr>
              <w:t>03</w:t>
            </w:r>
          </w:p>
        </w:tc>
        <w:tc>
          <w:tcPr>
            <w:tcW w:w="1500" w:type="dxa"/>
            <w:shd w:val="clear" w:color="auto" w:fill="auto"/>
            <w:noWrap/>
            <w:vAlign w:val="center"/>
          </w:tcPr>
          <w:p>
            <w:pPr>
              <w:pStyle w:val="459"/>
              <w:pageBreakBefore w:val="0"/>
              <w:kinsoku/>
              <w:bidi w:val="0"/>
              <w:spacing w:line="500" w:lineRule="exact"/>
              <w:jc w:val="center"/>
              <w:rPr>
                <w:rFonts w:hint="default" w:ascii="Times New Roman" w:hAnsi="Times New Roman" w:cs="Times New Roman" w:eastAsiaTheme="minorEastAsia"/>
                <w:sz w:val="22"/>
                <w:lang w:val="en-US" w:eastAsia="zh-CN"/>
              </w:rPr>
            </w:pPr>
            <w:r>
              <w:rPr>
                <w:rFonts w:hint="default" w:ascii="Times New Roman" w:hAnsi="Times New Roman" w:cs="Times New Roman"/>
                <w:sz w:val="22"/>
              </w:rPr>
              <w:t>0.</w:t>
            </w:r>
            <w:r>
              <w:rPr>
                <w:rFonts w:hint="default" w:ascii="Times New Roman" w:hAnsi="Times New Roman" w:cs="Times New Roman"/>
                <w:sz w:val="22"/>
                <w:lang w:val="en-US" w:eastAsia="zh-CN"/>
              </w:rPr>
              <w:t>03</w:t>
            </w:r>
          </w:p>
        </w:tc>
        <w:tc>
          <w:tcPr>
            <w:tcW w:w="1076" w:type="dxa"/>
            <w:shd w:val="clear" w:color="auto" w:fill="auto"/>
            <w:noWrap w:val="0"/>
            <w:vAlign w:val="center"/>
          </w:tcPr>
          <w:p>
            <w:pPr>
              <w:pStyle w:val="459"/>
              <w:pageBreakBefore w:val="0"/>
              <w:kinsoku/>
              <w:bidi w:val="0"/>
              <w:spacing w:line="500" w:lineRule="exact"/>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16" w:type="dxa"/>
            <w:vMerge w:val="continue"/>
            <w:shd w:val="clear" w:color="auto" w:fill="auto"/>
            <w:noWrap w:val="0"/>
            <w:vAlign w:val="center"/>
          </w:tcPr>
          <w:p>
            <w:pPr>
              <w:pStyle w:val="459"/>
              <w:pageBreakBefore w:val="0"/>
              <w:kinsoku/>
              <w:bidi w:val="0"/>
              <w:spacing w:line="500" w:lineRule="exact"/>
              <w:ind w:firstLine="440" w:firstLineChars="200"/>
              <w:jc w:val="center"/>
              <w:rPr>
                <w:rFonts w:hint="default" w:ascii="Times New Roman" w:hAnsi="Times New Roman" w:cs="Times New Roman"/>
              </w:rPr>
            </w:pPr>
          </w:p>
        </w:tc>
        <w:tc>
          <w:tcPr>
            <w:tcW w:w="1822" w:type="dxa"/>
            <w:shd w:val="clear" w:color="auto" w:fill="auto"/>
            <w:noWrap w:val="0"/>
            <w:vAlign w:val="center"/>
          </w:tcPr>
          <w:p>
            <w:pPr>
              <w:pStyle w:val="459"/>
              <w:pageBreakBefore w:val="0"/>
              <w:kinsoku/>
              <w:bidi w:val="0"/>
              <w:spacing w:line="500" w:lineRule="exact"/>
              <w:jc w:val="center"/>
              <w:rPr>
                <w:rFonts w:hint="default" w:ascii="Times New Roman" w:hAnsi="Times New Roman" w:cs="Times New Roman"/>
              </w:rPr>
            </w:pPr>
            <w:r>
              <w:rPr>
                <w:rFonts w:hint="default" w:ascii="Times New Roman" w:hAnsi="Times New Roman" w:cs="Times New Roman"/>
              </w:rPr>
              <w:t>道路</w:t>
            </w:r>
            <w:r>
              <w:rPr>
                <w:rFonts w:hint="default" w:ascii="Times New Roman" w:hAnsi="Times New Roman" w:cs="Times New Roman"/>
                <w:lang w:val="en-US" w:eastAsia="zh-CN"/>
              </w:rPr>
              <w:t>广场</w:t>
            </w:r>
            <w:r>
              <w:rPr>
                <w:rFonts w:hint="default" w:ascii="Times New Roman" w:hAnsi="Times New Roman" w:cs="Times New Roman"/>
              </w:rPr>
              <w:t>区</w:t>
            </w:r>
          </w:p>
        </w:tc>
        <w:tc>
          <w:tcPr>
            <w:tcW w:w="1422" w:type="dxa"/>
            <w:shd w:val="clear" w:color="auto" w:fill="auto"/>
            <w:noWrap/>
            <w:vAlign w:val="center"/>
          </w:tcPr>
          <w:p>
            <w:pPr>
              <w:pStyle w:val="459"/>
              <w:pageBreakBefore w:val="0"/>
              <w:kinsoku/>
              <w:bidi w:val="0"/>
              <w:spacing w:line="500" w:lineRule="exact"/>
              <w:jc w:val="center"/>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2"/>
                <w:lang w:val="en-US" w:eastAsia="zh-CN"/>
              </w:rPr>
              <w:t>0.40</w:t>
            </w:r>
          </w:p>
        </w:tc>
        <w:tc>
          <w:tcPr>
            <w:tcW w:w="1635" w:type="dxa"/>
            <w:shd w:val="clear" w:color="auto" w:fill="auto"/>
            <w:noWrap w:val="0"/>
            <w:vAlign w:val="center"/>
          </w:tcPr>
          <w:p>
            <w:pPr>
              <w:pStyle w:val="459"/>
              <w:pageBreakBefore w:val="0"/>
              <w:kinsoku/>
              <w:bidi w:val="0"/>
              <w:spacing w:line="500" w:lineRule="exact"/>
              <w:jc w:val="center"/>
              <w:rPr>
                <w:rFonts w:hint="default" w:ascii="Times New Roman" w:hAnsi="Times New Roman" w:cs="Times New Roman" w:eastAsiaTheme="minorEastAsia"/>
                <w:lang w:val="en-US" w:eastAsia="zh-CN"/>
              </w:rPr>
            </w:pPr>
            <w:r>
              <w:rPr>
                <w:rFonts w:hint="default" w:ascii="Times New Roman" w:hAnsi="Times New Roman" w:cs="Times New Roman"/>
              </w:rPr>
              <w:t>0.</w:t>
            </w:r>
            <w:r>
              <w:rPr>
                <w:rFonts w:hint="default" w:ascii="Times New Roman" w:hAnsi="Times New Roman" w:cs="Times New Roman"/>
                <w:lang w:val="en-US" w:eastAsia="zh-CN"/>
              </w:rPr>
              <w:t>00</w:t>
            </w:r>
          </w:p>
        </w:tc>
        <w:tc>
          <w:tcPr>
            <w:tcW w:w="1500" w:type="dxa"/>
            <w:shd w:val="clear" w:color="auto" w:fill="auto"/>
            <w:noWrap/>
            <w:vAlign w:val="center"/>
          </w:tcPr>
          <w:p>
            <w:pPr>
              <w:pStyle w:val="459"/>
              <w:pageBreakBefore w:val="0"/>
              <w:kinsoku/>
              <w:bidi w:val="0"/>
              <w:spacing w:line="500" w:lineRule="exact"/>
              <w:jc w:val="center"/>
              <w:rPr>
                <w:rFonts w:hint="default" w:ascii="Times New Roman" w:hAnsi="Times New Roman" w:cs="Times New Roman" w:eastAsiaTheme="minorEastAsia"/>
                <w:sz w:val="22"/>
                <w:lang w:val="en-US" w:eastAsia="zh-CN"/>
              </w:rPr>
            </w:pPr>
            <w:r>
              <w:rPr>
                <w:rFonts w:hint="default" w:ascii="Times New Roman" w:hAnsi="Times New Roman" w:cs="Times New Roman"/>
                <w:sz w:val="22"/>
              </w:rPr>
              <w:t>0.</w:t>
            </w:r>
            <w:r>
              <w:rPr>
                <w:rFonts w:hint="default" w:ascii="Times New Roman" w:hAnsi="Times New Roman" w:cs="Times New Roman"/>
                <w:sz w:val="22"/>
                <w:lang w:val="en-US" w:eastAsia="zh-CN"/>
              </w:rPr>
              <w:t>00</w:t>
            </w:r>
          </w:p>
        </w:tc>
        <w:tc>
          <w:tcPr>
            <w:tcW w:w="1076" w:type="dxa"/>
            <w:shd w:val="clear" w:color="auto" w:fill="auto"/>
            <w:noWrap w:val="0"/>
            <w:vAlign w:val="center"/>
          </w:tcPr>
          <w:p>
            <w:pPr>
              <w:pStyle w:val="459"/>
              <w:pageBreakBefore w:val="0"/>
              <w:kinsoku/>
              <w:bidi w:val="0"/>
              <w:spacing w:line="500" w:lineRule="exact"/>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16" w:type="dxa"/>
            <w:vMerge w:val="continue"/>
            <w:shd w:val="clear" w:color="auto" w:fill="auto"/>
            <w:noWrap w:val="0"/>
            <w:vAlign w:val="center"/>
          </w:tcPr>
          <w:p>
            <w:pPr>
              <w:pStyle w:val="459"/>
              <w:pageBreakBefore w:val="0"/>
              <w:kinsoku/>
              <w:bidi w:val="0"/>
              <w:spacing w:line="500" w:lineRule="exact"/>
              <w:ind w:firstLine="440" w:firstLineChars="200"/>
              <w:jc w:val="center"/>
              <w:rPr>
                <w:rFonts w:hint="default" w:ascii="Times New Roman" w:hAnsi="Times New Roman" w:cs="Times New Roman"/>
              </w:rPr>
            </w:pPr>
          </w:p>
        </w:tc>
        <w:tc>
          <w:tcPr>
            <w:tcW w:w="1822" w:type="dxa"/>
            <w:shd w:val="clear" w:color="auto" w:fill="auto"/>
            <w:noWrap w:val="0"/>
            <w:vAlign w:val="center"/>
          </w:tcPr>
          <w:p>
            <w:pPr>
              <w:pStyle w:val="459"/>
              <w:pageBreakBefore w:val="0"/>
              <w:kinsoku/>
              <w:bidi w:val="0"/>
              <w:spacing w:line="500" w:lineRule="exact"/>
              <w:jc w:val="center"/>
              <w:rPr>
                <w:rFonts w:hint="default" w:ascii="Times New Roman" w:hAnsi="Times New Roman" w:cs="Times New Roman"/>
              </w:rPr>
            </w:pPr>
            <w:r>
              <w:rPr>
                <w:rFonts w:hint="default" w:ascii="Times New Roman" w:hAnsi="Times New Roman" w:cs="Times New Roman"/>
              </w:rPr>
              <w:t>景观绿化区</w:t>
            </w:r>
          </w:p>
        </w:tc>
        <w:tc>
          <w:tcPr>
            <w:tcW w:w="1422" w:type="dxa"/>
            <w:shd w:val="clear" w:color="auto" w:fill="auto"/>
            <w:noWrap/>
            <w:vAlign w:val="center"/>
          </w:tcPr>
          <w:p>
            <w:pPr>
              <w:pStyle w:val="459"/>
              <w:pageBreakBefore w:val="0"/>
              <w:kinsoku/>
              <w:bidi w:val="0"/>
              <w:spacing w:line="500" w:lineRule="exact"/>
              <w:jc w:val="center"/>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2"/>
                <w:lang w:val="en-US" w:eastAsia="zh-CN"/>
              </w:rPr>
              <w:t>0.40</w:t>
            </w:r>
          </w:p>
        </w:tc>
        <w:tc>
          <w:tcPr>
            <w:tcW w:w="1635" w:type="dxa"/>
            <w:shd w:val="clear" w:color="auto" w:fill="auto"/>
            <w:noWrap w:val="0"/>
            <w:vAlign w:val="center"/>
          </w:tcPr>
          <w:p>
            <w:pPr>
              <w:pStyle w:val="459"/>
              <w:pageBreakBefore w:val="0"/>
              <w:kinsoku/>
              <w:bidi w:val="0"/>
              <w:spacing w:line="500" w:lineRule="exact"/>
              <w:jc w:val="center"/>
              <w:rPr>
                <w:rFonts w:hint="default" w:ascii="Times New Roman" w:hAnsi="Times New Roman" w:cs="Times New Roman" w:eastAsiaTheme="minorEastAsia"/>
                <w:lang w:val="en-US" w:eastAsia="zh-CN"/>
              </w:rPr>
            </w:pPr>
            <w:r>
              <w:rPr>
                <w:rFonts w:hint="default" w:ascii="Times New Roman" w:hAnsi="Times New Roman" w:cs="Times New Roman"/>
              </w:rPr>
              <w:t>0.</w:t>
            </w:r>
            <w:r>
              <w:rPr>
                <w:rFonts w:hint="default" w:ascii="Times New Roman" w:hAnsi="Times New Roman" w:cs="Times New Roman"/>
                <w:lang w:val="en-US" w:eastAsia="zh-CN"/>
              </w:rPr>
              <w:t>04</w:t>
            </w:r>
          </w:p>
        </w:tc>
        <w:tc>
          <w:tcPr>
            <w:tcW w:w="1500" w:type="dxa"/>
            <w:shd w:val="clear" w:color="auto" w:fill="auto"/>
            <w:noWrap/>
            <w:vAlign w:val="center"/>
          </w:tcPr>
          <w:p>
            <w:pPr>
              <w:pStyle w:val="459"/>
              <w:pageBreakBefore w:val="0"/>
              <w:kinsoku/>
              <w:bidi w:val="0"/>
              <w:spacing w:line="500" w:lineRule="exact"/>
              <w:jc w:val="center"/>
              <w:rPr>
                <w:rFonts w:hint="default" w:ascii="Times New Roman" w:hAnsi="Times New Roman" w:cs="Times New Roman" w:eastAsiaTheme="minorEastAsia"/>
                <w:sz w:val="22"/>
                <w:lang w:val="en-US" w:eastAsia="zh-CN"/>
              </w:rPr>
            </w:pPr>
            <w:r>
              <w:rPr>
                <w:rFonts w:hint="default" w:ascii="Times New Roman" w:hAnsi="Times New Roman" w:cs="Times New Roman"/>
                <w:sz w:val="22"/>
              </w:rPr>
              <w:t>0.</w:t>
            </w:r>
            <w:r>
              <w:rPr>
                <w:rFonts w:hint="default" w:ascii="Times New Roman" w:hAnsi="Times New Roman" w:cs="Times New Roman"/>
                <w:sz w:val="22"/>
                <w:lang w:val="en-US" w:eastAsia="zh-CN"/>
              </w:rPr>
              <w:t>04</w:t>
            </w:r>
          </w:p>
        </w:tc>
        <w:tc>
          <w:tcPr>
            <w:tcW w:w="1076" w:type="dxa"/>
            <w:shd w:val="clear" w:color="auto" w:fill="auto"/>
            <w:noWrap w:val="0"/>
            <w:vAlign w:val="center"/>
          </w:tcPr>
          <w:p>
            <w:pPr>
              <w:pStyle w:val="459"/>
              <w:pageBreakBefore w:val="0"/>
              <w:kinsoku/>
              <w:bidi w:val="0"/>
              <w:spacing w:line="500" w:lineRule="exact"/>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16" w:type="dxa"/>
            <w:vMerge w:val="continue"/>
            <w:shd w:val="clear" w:color="auto" w:fill="auto"/>
            <w:noWrap w:val="0"/>
            <w:vAlign w:val="center"/>
          </w:tcPr>
          <w:p>
            <w:pPr>
              <w:pStyle w:val="459"/>
              <w:pageBreakBefore w:val="0"/>
              <w:kinsoku/>
              <w:bidi w:val="0"/>
              <w:spacing w:line="500" w:lineRule="exact"/>
              <w:ind w:firstLine="440" w:firstLineChars="200"/>
              <w:jc w:val="center"/>
              <w:rPr>
                <w:rFonts w:hint="default" w:ascii="Times New Roman" w:hAnsi="Times New Roman" w:cs="Times New Roman"/>
              </w:rPr>
            </w:pPr>
          </w:p>
        </w:tc>
        <w:tc>
          <w:tcPr>
            <w:tcW w:w="1822" w:type="dxa"/>
            <w:shd w:val="clear" w:color="auto" w:fill="auto"/>
            <w:noWrap w:val="0"/>
            <w:vAlign w:val="center"/>
          </w:tcPr>
          <w:p>
            <w:pPr>
              <w:pStyle w:val="459"/>
              <w:pageBreakBefore w:val="0"/>
              <w:kinsoku/>
              <w:bidi w:val="0"/>
              <w:spacing w:line="500" w:lineRule="exact"/>
              <w:jc w:val="center"/>
              <w:rPr>
                <w:rFonts w:hint="default" w:ascii="Times New Roman" w:hAnsi="Times New Roman" w:cs="Times New Roman"/>
              </w:rPr>
            </w:pPr>
            <w:r>
              <w:rPr>
                <w:rFonts w:hint="default" w:ascii="Times New Roman" w:hAnsi="Times New Roman" w:cs="Times New Roman"/>
              </w:rPr>
              <w:t>小计</w:t>
            </w:r>
          </w:p>
        </w:tc>
        <w:tc>
          <w:tcPr>
            <w:tcW w:w="1422" w:type="dxa"/>
            <w:shd w:val="clear" w:color="auto" w:fill="auto"/>
            <w:noWrap w:val="0"/>
            <w:vAlign w:val="center"/>
          </w:tcPr>
          <w:p>
            <w:pPr>
              <w:pStyle w:val="459"/>
              <w:pageBreakBefore w:val="0"/>
              <w:kinsoku/>
              <w:bidi w:val="0"/>
              <w:spacing w:line="500" w:lineRule="exact"/>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1.20</w:t>
            </w:r>
          </w:p>
        </w:tc>
        <w:tc>
          <w:tcPr>
            <w:tcW w:w="1635" w:type="dxa"/>
            <w:shd w:val="clear" w:color="auto" w:fill="auto"/>
            <w:noWrap w:val="0"/>
            <w:vAlign w:val="center"/>
          </w:tcPr>
          <w:p>
            <w:pPr>
              <w:pStyle w:val="459"/>
              <w:pageBreakBefore w:val="0"/>
              <w:kinsoku/>
              <w:bidi w:val="0"/>
              <w:spacing w:line="500" w:lineRule="exact"/>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0.07</w:t>
            </w:r>
          </w:p>
        </w:tc>
        <w:tc>
          <w:tcPr>
            <w:tcW w:w="1500" w:type="dxa"/>
            <w:shd w:val="clear" w:color="auto" w:fill="auto"/>
            <w:noWrap/>
            <w:vAlign w:val="center"/>
          </w:tcPr>
          <w:p>
            <w:pPr>
              <w:pStyle w:val="459"/>
              <w:pageBreakBefore w:val="0"/>
              <w:kinsoku/>
              <w:bidi w:val="0"/>
              <w:spacing w:line="500" w:lineRule="exact"/>
              <w:jc w:val="center"/>
              <w:rPr>
                <w:rFonts w:hint="default" w:ascii="Times New Roman" w:hAnsi="Times New Roman" w:cs="Times New Roman" w:eastAsiaTheme="minorEastAsia"/>
                <w:sz w:val="22"/>
                <w:lang w:val="en-US" w:eastAsia="zh-CN"/>
              </w:rPr>
            </w:pPr>
            <w:r>
              <w:rPr>
                <w:rFonts w:hint="default" w:ascii="Times New Roman" w:hAnsi="Times New Roman" w:cs="Times New Roman"/>
                <w:sz w:val="22"/>
              </w:rPr>
              <w:t>0.</w:t>
            </w:r>
            <w:r>
              <w:rPr>
                <w:rFonts w:hint="default" w:ascii="Times New Roman" w:hAnsi="Times New Roman" w:cs="Times New Roman"/>
                <w:sz w:val="22"/>
                <w:lang w:val="en-US" w:eastAsia="zh-CN"/>
              </w:rPr>
              <w:t>07</w:t>
            </w:r>
          </w:p>
        </w:tc>
        <w:tc>
          <w:tcPr>
            <w:tcW w:w="1076" w:type="dxa"/>
            <w:shd w:val="clear" w:color="auto" w:fill="auto"/>
            <w:noWrap w:val="0"/>
            <w:vAlign w:val="center"/>
          </w:tcPr>
          <w:p>
            <w:pPr>
              <w:pStyle w:val="459"/>
              <w:pageBreakBefore w:val="0"/>
              <w:kinsoku/>
              <w:bidi w:val="0"/>
              <w:spacing w:line="500" w:lineRule="exact"/>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1.34</w:t>
            </w:r>
          </w:p>
        </w:tc>
      </w:tr>
    </w:tbl>
    <w:p>
      <w:pPr>
        <w:pStyle w:val="4"/>
        <w:rPr>
          <w:rFonts w:hint="default" w:ascii="Times New Roman" w:hAnsi="Times New Roman" w:cs="Times New Roman"/>
        </w:rPr>
      </w:pPr>
      <w:r>
        <w:rPr>
          <w:rFonts w:hint="default" w:ascii="Times New Roman" w:hAnsi="Times New Roman" w:cs="Times New Roman"/>
        </w:rPr>
        <w:t>1.1.8移民安置和专项设施改（迁）建</w:t>
      </w:r>
    </w:p>
    <w:p>
      <w:pPr>
        <w:pageBreakBefore w:val="0"/>
        <w:kinsoku/>
        <w:bidi w:val="0"/>
        <w:spacing w:line="500" w:lineRule="exact"/>
        <w:ind w:firstLine="480" w:firstLineChars="200"/>
        <w:rPr>
          <w:rFonts w:hint="default" w:ascii="Times New Roman" w:hAnsi="Times New Roman" w:cs="Times New Roman" w:eastAsiaTheme="minorEastAsia"/>
          <w:kern w:val="2"/>
          <w:sz w:val="24"/>
          <w:szCs w:val="28"/>
          <w:lang w:val="en-US" w:eastAsia="zh-CN" w:bidi="ar-SA"/>
        </w:rPr>
      </w:pPr>
      <w:r>
        <w:rPr>
          <w:rFonts w:hint="default" w:ascii="Times New Roman" w:hAnsi="Times New Roman" w:cs="Times New Roman" w:eastAsiaTheme="minorEastAsia"/>
          <w:kern w:val="2"/>
          <w:sz w:val="24"/>
          <w:szCs w:val="28"/>
          <w:lang w:val="en-US" w:eastAsia="zh-CN" w:bidi="ar-SA"/>
        </w:rPr>
        <w:t>本工程为新建项目，本项目的居民征地拆迁，现由江阳区土地征收机构，对被拆迁的居民采取一次性货币补偿方式，自行购买商品房解决住房问题，本项目不涉及移民安置问题。</w:t>
      </w:r>
    </w:p>
    <w:p>
      <w:pPr>
        <w:pageBreakBefore w:val="0"/>
        <w:kinsoku/>
        <w:bidi w:val="0"/>
        <w:spacing w:line="500" w:lineRule="exact"/>
        <w:ind w:firstLine="480" w:firstLineChars="200"/>
        <w:rPr>
          <w:rFonts w:hint="default" w:ascii="Times New Roman" w:hAnsi="Times New Roman" w:cs="Times New Roman" w:eastAsiaTheme="minorEastAsia"/>
          <w:kern w:val="2"/>
          <w:sz w:val="24"/>
          <w:szCs w:val="28"/>
          <w:lang w:val="en-US" w:eastAsia="zh-CN" w:bidi="ar-SA"/>
        </w:rPr>
      </w:pPr>
      <w:r>
        <w:rPr>
          <w:rFonts w:hint="default" w:ascii="Times New Roman" w:hAnsi="Times New Roman" w:cs="Times New Roman" w:eastAsiaTheme="minorEastAsia"/>
          <w:kern w:val="2"/>
          <w:sz w:val="24"/>
          <w:szCs w:val="28"/>
          <w:lang w:val="en-US" w:eastAsia="zh-CN" w:bidi="ar-SA"/>
        </w:rPr>
        <w:t>本项目不涉及专项设施的改迁建工作。</w:t>
      </w:r>
    </w:p>
    <w:p>
      <w:pPr>
        <w:pStyle w:val="3"/>
        <w:rPr>
          <w:rFonts w:hint="default" w:ascii="Times New Roman" w:hAnsi="Times New Roman" w:cs="Times New Roman"/>
        </w:rPr>
      </w:pPr>
      <w:bookmarkStart w:id="21" w:name="_Toc502049570"/>
      <w:r>
        <w:rPr>
          <w:rFonts w:hint="default" w:ascii="Times New Roman" w:hAnsi="Times New Roman" w:cs="Times New Roman"/>
        </w:rPr>
        <w:t>1.2项目区概况</w:t>
      </w:r>
      <w:bookmarkEnd w:id="21"/>
    </w:p>
    <w:p>
      <w:pPr>
        <w:pStyle w:val="4"/>
        <w:rPr>
          <w:rFonts w:hint="default" w:ascii="Times New Roman" w:hAnsi="Times New Roman" w:cs="Times New Roman"/>
        </w:rPr>
      </w:pPr>
      <w:r>
        <w:rPr>
          <w:rFonts w:hint="default" w:ascii="Times New Roman" w:hAnsi="Times New Roman" w:cs="Times New Roman"/>
        </w:rPr>
        <w:t>1.2.1自然条件</w:t>
      </w:r>
    </w:p>
    <w:p>
      <w:pPr>
        <w:pStyle w:val="6"/>
        <w:rPr>
          <w:rFonts w:hint="default" w:ascii="Times New Roman" w:hAnsi="Times New Roman" w:cs="Times New Roman"/>
        </w:rPr>
      </w:pPr>
      <w:r>
        <w:rPr>
          <w:rFonts w:hint="default" w:ascii="Times New Roman" w:hAnsi="Times New Roman" w:cs="Times New Roman"/>
        </w:rPr>
        <w:t>1.2.1.1地形地貌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kern w:val="2"/>
          <w:sz w:val="24"/>
          <w:szCs w:val="28"/>
          <w:lang w:val="en-US" w:eastAsia="zh-CN" w:bidi="ar-SA"/>
        </w:rPr>
      </w:pPr>
      <w:bookmarkStart w:id="22" w:name="_Toc434151764"/>
      <w:r>
        <w:rPr>
          <w:rFonts w:hint="default" w:ascii="Times New Roman" w:hAnsi="Times New Roman" w:cs="Times New Roman" w:eastAsiaTheme="minorEastAsia"/>
          <w:kern w:val="2"/>
          <w:sz w:val="24"/>
          <w:szCs w:val="28"/>
          <w:lang w:val="en-US" w:eastAsia="zh-CN" w:bidi="ar-SA"/>
        </w:rPr>
        <w:t>拟建场地地形较平缓，总体呈东北高西南低，高差约为 2m，该场地地形地貌复杂程度中等，拟建场地原始地貌为长江右岸Ⅲ级阶地。</w:t>
      </w:r>
    </w:p>
    <w:p>
      <w:pPr>
        <w:ind w:firstLine="480"/>
        <w:jc w:val="center"/>
        <w:rPr>
          <w:rFonts w:hint="default" w:ascii="Times New Roman" w:hAnsi="Times New Roman" w:cs="Times New Roman"/>
        </w:rPr>
      </w:pPr>
      <w:r>
        <w:rPr>
          <w:rFonts w:hint="default" w:ascii="Times New Roman" w:hAnsi="Times New Roman" w:cs="Times New Roman"/>
        </w:rPr>
        <w:drawing>
          <wp:inline distT="0" distB="0" distL="0" distR="0">
            <wp:extent cx="3090545" cy="3601720"/>
            <wp:effectExtent l="0" t="0" r="14605" b="17780"/>
            <wp:docPr id="2" name="图片 2" descr="C:\Users\Chanc\Desktop\1111.jpg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Chanc\Desktop\1111.jpg1111"/>
                    <pic:cNvPicPr>
                      <a:picLocks noChangeAspect="1" noChangeArrowheads="1"/>
                    </pic:cNvPicPr>
                  </pic:nvPicPr>
                  <pic:blipFill>
                    <a:blip r:embed="rId15"/>
                    <a:srcRect/>
                    <a:stretch>
                      <a:fillRect/>
                    </a:stretch>
                  </pic:blipFill>
                  <pic:spPr>
                    <a:xfrm>
                      <a:off x="0" y="0"/>
                      <a:ext cx="3090545" cy="3601720"/>
                    </a:xfrm>
                    <a:prstGeom prst="rect">
                      <a:avLst/>
                    </a:prstGeom>
                    <a:noFill/>
                    <a:ln>
                      <a:noFill/>
                    </a:ln>
                  </pic:spPr>
                </pic:pic>
              </a:graphicData>
            </a:graphic>
          </wp:inline>
        </w:drawing>
      </w:r>
    </w:p>
    <w:p>
      <w:pPr>
        <w:pStyle w:val="32"/>
        <w:ind w:firstLine="480"/>
        <w:rPr>
          <w:rFonts w:hint="default" w:ascii="Times New Roman" w:hAnsi="Times New Roman" w:cs="Times New Roman"/>
        </w:rPr>
      </w:pPr>
      <w:r>
        <w:rPr>
          <w:rFonts w:hint="default" w:ascii="Times New Roman" w:hAnsi="Times New Roman" w:cs="Times New Roman"/>
        </w:rPr>
        <w:t>图</w:t>
      </w:r>
      <w:r>
        <w:rPr>
          <w:rFonts w:hint="default" w:ascii="Times New Roman" w:hAnsi="Times New Roman" w:cs="Times New Roman"/>
          <w:lang w:val="en-US" w:eastAsia="zh-CN"/>
        </w:rPr>
        <w:t>1</w:t>
      </w:r>
      <w:r>
        <w:rPr>
          <w:rFonts w:hint="default" w:ascii="Times New Roman" w:hAnsi="Times New Roman" w:cs="Times New Roman"/>
        </w:rPr>
        <w:t>-1  项目周边地形地貌</w:t>
      </w:r>
    </w:p>
    <w:bookmarkEnd w:id="22"/>
    <w:p>
      <w:pPr>
        <w:pStyle w:val="6"/>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rPr>
        <w:t>1.2.1.2地质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根据《泸州鑫盛轻工发展有限公司蓝田街道重湾（干坝子）安置房建设工程地质勘察报告》，本项目在区域地质构造上，拟建场地位于扬子向斜西翼，基岩层为侏罗系中统上沙溪庙组（J 2 s）泥岩。地层倾向 162°，倾角12°，岩石中未有风化节理裂隙，对岩层的完整性影响仅限于基岩中风化带。据区域地质资料和地质调查，拟建场地内未发现构造断层。在场地内基岩陡坎露头中测得两组裂隙：①188°∠65°，裂隙面平直、平整，局部光滑，张开 1～3mm，粘性土充填，结合很差，属扭张裂隙，属软弱结构面，裂隙间距 0.5～1.5m，延伸远，贯通性较好；②89°∠78°，裂隙面平直、粗糙、张开 0.5～1mm，无充填，结合差，属剪张裂隙，硬性结构面，裂隙间距 1～3m，延伸 2～3m，贯通性一般；岩体中构造裂隙不发育～较发育，多为层状结构，层面为贯通性软弱结构面，结合很差。综上所述：拟建场地基岩岩体较完整，裂隙一般发育，地质构造较简单；场区及周围未见崩塌、滑坡、泥石流等不良地质现象发育，场区内无地下洞室分布；拟建场地稳定，适宜修建拟建建筑物。</w:t>
      </w:r>
    </w:p>
    <w:p>
      <w:pPr>
        <w:pStyle w:val="6"/>
        <w:rPr>
          <w:rFonts w:hint="default" w:ascii="Times New Roman" w:hAnsi="Times New Roman" w:cs="Times New Roman"/>
        </w:rPr>
      </w:pPr>
      <w:r>
        <w:rPr>
          <w:rFonts w:hint="default" w:ascii="Times New Roman" w:hAnsi="Times New Roman" w:cs="Times New Roman"/>
        </w:rPr>
        <w:t>1.2.1.3土壤与植被</w:t>
      </w:r>
    </w:p>
    <w:p>
      <w:pPr>
        <w:pStyle w:val="13"/>
        <w:pageBreakBefore w:val="0"/>
        <w:kinsoku/>
        <w:bidi w:val="0"/>
        <w:spacing w:line="500" w:lineRule="exact"/>
        <w:ind w:firstLine="480" w:firstLineChars="200"/>
        <w:rPr>
          <w:rFonts w:hint="default" w:ascii="Times New Roman" w:hAnsi="Times New Roman" w:cs="Times New Roman"/>
          <w:szCs w:val="24"/>
        </w:rPr>
      </w:pPr>
      <w:r>
        <w:rPr>
          <w:rFonts w:hint="default" w:ascii="Times New Roman" w:hAnsi="Times New Roman" w:cs="Times New Roman" w:eastAsiaTheme="minorEastAsia"/>
          <w:kern w:val="2"/>
          <w:sz w:val="24"/>
          <w:szCs w:val="28"/>
          <w:lang w:val="en-US" w:eastAsia="zh-CN" w:bidi="ar-SA"/>
        </w:rPr>
        <w:t>土壤主要由侏罗系沙溪庙组紫色砂页岩风化而成，分布在浅丘和低谷区，其次是江河沿岸阶地的新生代第四系冲积层，通过风化、熟化、腐化、生化、冲积等演成为土壤。区域内主要有 4 大类土，即水稻土、潮土、紫色土及黄壤土。土壤 pH 值 4.4～8 之间，有机质含量 0.91～1.91%，碱性氮 54～51231ppm，速效磷0.01～28ppm，速效钾11～322ppm，土壤厚度基本在10～110cm之间，坡耕地较薄，水田较厚，河谷堆积地带最厚，局部超过300cm以上，土壤下部多为基岩。丘陵区以紫色土为主，土壤肥力高，矿物质丰富、胶质好。浅丘区、江河沿岸阶地分布良好的种植土壤，宜种性广，是江阳区的粮食、蔬菜等作物主产区。</w:t>
      </w:r>
    </w:p>
    <w:p>
      <w:pPr>
        <w:pStyle w:val="13"/>
        <w:pageBreakBefore w:val="0"/>
        <w:kinsoku/>
        <w:bidi w:val="0"/>
        <w:spacing w:line="500" w:lineRule="exact"/>
        <w:ind w:firstLine="480" w:firstLineChars="200"/>
        <w:rPr>
          <w:rFonts w:hint="default" w:ascii="Times New Roman" w:hAnsi="Times New Roman" w:cs="Times New Roman"/>
          <w:szCs w:val="24"/>
        </w:rPr>
      </w:pPr>
      <w:r>
        <w:rPr>
          <w:rFonts w:hint="default" w:ascii="Times New Roman" w:hAnsi="Times New Roman" w:cs="Times New Roman"/>
          <w:szCs w:val="24"/>
        </w:rPr>
        <w:t>项目所在地植被属亚热带常绿阔叶林带，盛产水稻、糯高粱、荔枝、桂圆。猪、牛、山羊、家蚕产量高。林地面积41 .88万公顷，占全市总面积的34.21%，活立木蓄积量810.8万立方米。有食用菌竹荪、鸡丛、蘑菇、银耳、木耳等20多种。项目区植被受人类活动影响较大，天然植被己被人工植被更新，无珍稀植物，亦无成片林，主要有桉树、梧桐、慈竹等植物；主要农作物种类有水稻、玉米、小麦和蔬菜等；经济作物有龙眼、甘庶、荔枝和柑桔等。</w:t>
      </w:r>
      <w:r>
        <w:rPr>
          <w:rFonts w:hint="default" w:ascii="Times New Roman" w:hAnsi="Times New Roman" w:cs="Times New Roman" w:eastAsiaTheme="minorEastAsia"/>
          <w:kern w:val="2"/>
          <w:sz w:val="24"/>
          <w:szCs w:val="28"/>
          <w:lang w:val="en-US" w:eastAsia="zh-CN" w:bidi="ar-SA"/>
        </w:rPr>
        <w:t>根据对工程区的初步调查，项目区域内的植被以杂草为主，据项目区内没有国家珍稀保护植物</w:t>
      </w:r>
      <w:r>
        <w:rPr>
          <w:rFonts w:hint="default" w:ascii="Times New Roman" w:hAnsi="Times New Roman" w:cs="Times New Roman"/>
          <w:szCs w:val="24"/>
        </w:rPr>
        <w:t>。</w:t>
      </w:r>
    </w:p>
    <w:p>
      <w:pPr>
        <w:pStyle w:val="13"/>
        <w:pageBreakBefore w:val="0"/>
        <w:kinsoku/>
        <w:bidi w:val="0"/>
        <w:spacing w:line="500" w:lineRule="exact"/>
        <w:ind w:left="0" w:leftChars="0" w:firstLine="0" w:firstLineChars="0"/>
        <w:rPr>
          <w:rFonts w:hint="default" w:ascii="Times New Roman" w:hAnsi="Times New Roman" w:cs="Times New Roman"/>
          <w:szCs w:val="24"/>
        </w:rPr>
      </w:pPr>
    </w:p>
    <w:p>
      <w:pPr>
        <w:pStyle w:val="440"/>
        <w:spacing w:line="240" w:lineRule="auto"/>
        <w:jc w:val="both"/>
        <w:rPr>
          <w:rFonts w:hint="default" w:ascii="Times New Roman" w:hAnsi="Times New Roman" w:cs="Times New Roman"/>
        </w:rPr>
      </w:pPr>
      <w:r>
        <w:rPr>
          <w:rFonts w:hint="default" w:ascii="Times New Roman" w:hAnsi="Times New Roman" w:cs="Times New Roman"/>
          <w:lang w:val="en-US" w:eastAsia="zh-CN"/>
        </w:rPr>
        <w:t xml:space="preserve">        </w:t>
      </w:r>
      <w:r>
        <w:rPr>
          <w:rFonts w:hint="default" w:ascii="Times New Roman" w:hAnsi="Times New Roman" w:cs="Times New Roman"/>
        </w:rPr>
        <w:drawing>
          <wp:inline distT="0" distB="0" distL="0" distR="0">
            <wp:extent cx="4191000" cy="2428875"/>
            <wp:effectExtent l="0" t="0" r="0" b="9525"/>
            <wp:docPr id="1" name="图片 1" descr="C:\Users\Chanc\Desktop\222222.jpg2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Chanc\Desktop\222222.jpg222222"/>
                    <pic:cNvPicPr>
                      <a:picLocks noChangeAspect="1" noChangeArrowheads="1"/>
                    </pic:cNvPicPr>
                  </pic:nvPicPr>
                  <pic:blipFill>
                    <a:blip r:embed="rId16"/>
                    <a:srcRect/>
                    <a:stretch>
                      <a:fillRect/>
                    </a:stretch>
                  </pic:blipFill>
                  <pic:spPr>
                    <a:xfrm>
                      <a:off x="0" y="0"/>
                      <a:ext cx="4191000" cy="2428875"/>
                    </a:xfrm>
                    <a:prstGeom prst="rect">
                      <a:avLst/>
                    </a:prstGeom>
                    <a:noFill/>
                    <a:ln>
                      <a:noFill/>
                    </a:ln>
                  </pic:spPr>
                </pic:pic>
              </a:graphicData>
            </a:graphic>
          </wp:inline>
        </w:drawing>
      </w:r>
    </w:p>
    <w:p>
      <w:pPr>
        <w:pStyle w:val="32"/>
        <w:ind w:firstLine="480"/>
        <w:rPr>
          <w:rFonts w:hint="default" w:ascii="Times New Roman" w:hAnsi="Times New Roman" w:cs="Times New Roman"/>
        </w:rPr>
      </w:pPr>
      <w:r>
        <w:rPr>
          <w:rFonts w:hint="default" w:ascii="Times New Roman" w:hAnsi="Times New Roman" w:cs="Times New Roman"/>
        </w:rPr>
        <w:t>图</w:t>
      </w:r>
      <w:r>
        <w:rPr>
          <w:rFonts w:hint="default" w:ascii="Times New Roman" w:hAnsi="Times New Roman" w:cs="Times New Roman"/>
          <w:lang w:val="en-US" w:eastAsia="zh-CN"/>
        </w:rPr>
        <w:t>1</w:t>
      </w:r>
      <w:r>
        <w:rPr>
          <w:rFonts w:hint="default" w:ascii="Times New Roman" w:hAnsi="Times New Roman" w:cs="Times New Roman"/>
        </w:rPr>
        <w:t>-2  项目区植被情况图</w:t>
      </w:r>
    </w:p>
    <w:p>
      <w:pPr>
        <w:pStyle w:val="6"/>
        <w:rPr>
          <w:rFonts w:hint="default" w:ascii="Times New Roman" w:hAnsi="Times New Roman" w:cs="Times New Roman"/>
        </w:rPr>
      </w:pPr>
      <w:r>
        <w:rPr>
          <w:rFonts w:hint="default" w:ascii="Times New Roman" w:hAnsi="Times New Roman" w:cs="Times New Roman"/>
        </w:rPr>
        <w:t>1.2.1.4气象水文</w:t>
      </w:r>
    </w:p>
    <w:p>
      <w:pPr>
        <w:pStyle w:val="440"/>
        <w:ind w:firstLine="480"/>
        <w:rPr>
          <w:rFonts w:hint="default" w:ascii="Times New Roman" w:hAnsi="Times New Roman" w:cs="Times New Roman"/>
          <w:lang w:val="zh-CN"/>
        </w:rPr>
      </w:pPr>
      <w:r>
        <w:rPr>
          <w:rFonts w:hint="default" w:ascii="Times New Roman" w:hAnsi="Times New Roman" w:cs="Times New Roman"/>
          <w:lang w:val="zh-CN"/>
        </w:rPr>
        <w:t>1、气象</w:t>
      </w:r>
    </w:p>
    <w:p>
      <w:pPr>
        <w:pStyle w:val="440"/>
        <w:ind w:firstLine="480"/>
        <w:rPr>
          <w:rFonts w:hint="default" w:ascii="Times New Roman" w:hAnsi="Times New Roman" w:cs="Times New Roman"/>
        </w:rPr>
      </w:pPr>
      <w:r>
        <w:rPr>
          <w:rFonts w:hint="default" w:ascii="Times New Roman" w:hAnsi="Times New Roman" w:cs="Times New Roman"/>
          <w:szCs w:val="24"/>
        </w:rPr>
        <w:t>项目区属亚热带湿润季风气候，春季气温回升早，冷空气活动频繁；夏季炎热，降水集中，日照多，常有伏旱；秋季多绵雨，降温快；冬季气候温和，云雾多、日照少，湿度大，风速小。多年平均气温17.5℃，极端最高气温39.7℃（1995.9.6），极端最低气温-2.4℃（1963.1.14），多年平均年降水量1142.3mm，主要集中在5～9月，多年平均年蒸发量975.0mm，24h最大降水量225.2mm（1968），6h最大降水量153.5mm（1986），5年一遇1h、6h、24h暴雨值分别为56.2mm、91.0mm、132.0mm；10年一遇1h、6h、24h暴雨值分别为70.3mm、113.7mm、165.0mm；20年一遇1h、6h、24h暴雨值分别为83.5mm、135.1mm、196.0mm。多年平均相对温度84%，多年平均日照时数1131.1h，日照百分率30%，多年平均无霜期350天，全年多西北风，最大风力12级（1989.4.20），多年平均风速1.2m/s。</w:t>
      </w:r>
    </w:p>
    <w:p>
      <w:pPr>
        <w:pStyle w:val="440"/>
        <w:ind w:firstLine="480"/>
        <w:rPr>
          <w:rFonts w:hint="default" w:ascii="Times New Roman" w:hAnsi="Times New Roman" w:cs="Times New Roman"/>
        </w:rPr>
      </w:pPr>
      <w:r>
        <w:rPr>
          <w:rFonts w:hint="default" w:ascii="Times New Roman" w:hAnsi="Times New Roman" w:cs="Times New Roman"/>
        </w:rPr>
        <w:t>2、水文</w:t>
      </w:r>
    </w:p>
    <w:p>
      <w:pPr>
        <w:pStyle w:val="13"/>
        <w:pageBreakBefore w:val="0"/>
        <w:kinsoku/>
        <w:bidi w:val="0"/>
        <w:spacing w:line="500" w:lineRule="exact"/>
        <w:ind w:firstLine="480" w:firstLineChars="200"/>
        <w:rPr>
          <w:rFonts w:hint="default" w:ascii="Times New Roman" w:hAnsi="Times New Roman" w:cs="Times New Roman"/>
          <w:szCs w:val="24"/>
        </w:rPr>
      </w:pPr>
      <w:r>
        <w:rPr>
          <w:rFonts w:hint="default" w:ascii="Times New Roman" w:hAnsi="Times New Roman" w:cs="Times New Roman"/>
          <w:szCs w:val="24"/>
        </w:rPr>
        <w:t>本区域属沱江水系，沱江自西北向东南汇入长江。沱江流经调查区西南侧，距调查区最短距离约2km，沱江蜿蜒曲折，支流呈树枝状展布，网系密集。河道大都具有山区性河道的特征，河岸坡度陡，多呈“V”或“U”形谷。同时，宽谷与窄谷交互交替，河床较大，急流险滩众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rPr>
      </w:pPr>
      <w:r>
        <w:rPr>
          <w:rFonts w:hint="default" w:ascii="Times New Roman" w:hAnsi="Times New Roman" w:cs="Times New Roman" w:eastAsiaTheme="minorEastAsia"/>
          <w:kern w:val="2"/>
          <w:sz w:val="24"/>
          <w:szCs w:val="28"/>
          <w:lang w:val="en-US" w:eastAsia="zh-CN" w:bidi="ar-SA"/>
        </w:rPr>
        <w:t>整个勘察区位于长江南岸，属于长江水系，主干流为长江，拟建场区周围分布有洗布河，该河流通过地下封闭的管道汇入到长江；地下水为松散土层孔隙水，主要接受大气降雨补给；雨水沿坡面地表向坡脚面流。地表水排泄条件较好，具径流快的特点。与本项目最近的河流为项目西侧 30m 的洗布河，根据现场调查，该河流主要通过地下封闭的管道汇入到长江。本项目施工期和运行期产生的水土流失均不会排入到洗布河，因此，本项目施工期和运行期均不会对洗布河造成影响。</w:t>
      </w:r>
    </w:p>
    <w:p>
      <w:pPr>
        <w:pStyle w:val="6"/>
        <w:rPr>
          <w:rFonts w:hint="default" w:ascii="Times New Roman" w:hAnsi="Times New Roman" w:cs="Times New Roman"/>
        </w:rPr>
      </w:pPr>
      <w:r>
        <w:rPr>
          <w:rFonts w:hint="default" w:ascii="Times New Roman" w:hAnsi="Times New Roman" w:cs="Times New Roman"/>
        </w:rPr>
        <w:t>1.2.1.5土地利用现状</w:t>
      </w:r>
    </w:p>
    <w:p>
      <w:pPr>
        <w:pageBreakBefore w:val="0"/>
        <w:kinsoku/>
        <w:bidi w:val="0"/>
        <w:spacing w:line="500" w:lineRule="exact"/>
        <w:ind w:firstLine="480" w:firstLineChars="200"/>
        <w:rPr>
          <w:rFonts w:hint="default" w:ascii="Times New Roman" w:hAnsi="Times New Roman" w:cs="Times New Roman" w:eastAsiaTheme="minorEastAsia"/>
          <w:kern w:val="2"/>
          <w:sz w:val="24"/>
          <w:szCs w:val="20"/>
          <w:lang w:val="en-US" w:eastAsia="zh-CN" w:bidi="ar-SA"/>
        </w:rPr>
      </w:pPr>
      <w:r>
        <w:rPr>
          <w:rFonts w:hint="default" w:ascii="Times New Roman" w:hAnsi="Times New Roman" w:cs="Times New Roman" w:eastAsiaTheme="minorEastAsia"/>
          <w:kern w:val="2"/>
          <w:sz w:val="24"/>
          <w:szCs w:val="20"/>
          <w:lang w:val="en-US" w:eastAsia="zh-CN" w:bidi="ar-SA"/>
        </w:rPr>
        <w:t>江阳区总面积649平方千米，辖8个街道、10个镇：南城街道、北城街道、大山坪街道、邻玉街道、蓝田街道、茜草街道、华阳街道、张坝景区街道、泰安镇、黄舣镇、弥陀镇、况场镇、通滩镇、江北镇、方山镇、丹林镇、分水岭镇、石寨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kern w:val="2"/>
          <w:sz w:val="24"/>
          <w:szCs w:val="28"/>
          <w:lang w:val="en-US" w:eastAsia="zh-CN" w:bidi="ar-SA"/>
        </w:rPr>
      </w:pPr>
      <w:r>
        <w:rPr>
          <w:rFonts w:hint="default" w:ascii="Times New Roman" w:hAnsi="Times New Roman" w:cs="Times New Roman" w:eastAsiaTheme="minorEastAsia"/>
          <w:kern w:val="2"/>
          <w:sz w:val="24"/>
          <w:szCs w:val="20"/>
          <w:lang w:val="en-US" w:eastAsia="zh-CN" w:bidi="ar-SA"/>
        </w:rPr>
        <w:t>项目位于泸州市江阳区。</w:t>
      </w:r>
      <w:r>
        <w:rPr>
          <w:rFonts w:hint="default" w:ascii="Times New Roman" w:hAnsi="Times New Roman" w:cs="Times New Roman" w:eastAsiaTheme="minorEastAsia"/>
          <w:kern w:val="2"/>
          <w:sz w:val="24"/>
          <w:szCs w:val="28"/>
          <w:lang w:val="en-US" w:eastAsia="zh-CN" w:bidi="ar-SA"/>
        </w:rPr>
        <w:t xml:space="preserve">根据调查，项目占地区内的土地利用现状包括耕地、交通用地、住宅用地，本项目建设占地面积 1.34 公顷（13343.0m </w:t>
      </w:r>
      <w:r>
        <w:rPr>
          <w:rFonts w:hint="default" w:ascii="Times New Roman" w:hAnsi="Times New Roman" w:cs="Times New Roman" w:eastAsiaTheme="minorEastAsia"/>
          <w:kern w:val="2"/>
          <w:sz w:val="24"/>
          <w:szCs w:val="28"/>
          <w:vertAlign w:val="superscript"/>
          <w:lang w:val="en-US" w:eastAsia="zh-CN" w:bidi="ar-SA"/>
        </w:rPr>
        <w:t xml:space="preserve">2 </w:t>
      </w:r>
      <w:r>
        <w:rPr>
          <w:rFonts w:hint="default" w:ascii="Times New Roman" w:hAnsi="Times New Roman" w:cs="Times New Roman" w:eastAsiaTheme="minorEastAsia"/>
          <w:kern w:val="2"/>
          <w:sz w:val="24"/>
          <w:szCs w:val="28"/>
          <w:lang w:val="en-US" w:eastAsia="zh-CN" w:bidi="ar-SA"/>
        </w:rPr>
        <w:t>）， 全部属于永久占地。</w:t>
      </w:r>
    </w:p>
    <w:p>
      <w:pPr>
        <w:pStyle w:val="4"/>
        <w:rPr>
          <w:rFonts w:hint="default" w:ascii="Times New Roman" w:hAnsi="Times New Roman" w:cs="Times New Roman"/>
        </w:rPr>
      </w:pPr>
      <w:r>
        <w:rPr>
          <w:rFonts w:hint="default" w:ascii="Times New Roman" w:hAnsi="Times New Roman" w:cs="Times New Roman"/>
        </w:rPr>
        <w:t>1.2.2水土流失及防治情况</w:t>
      </w:r>
    </w:p>
    <w:p>
      <w:pPr>
        <w:pStyle w:val="6"/>
        <w:rPr>
          <w:rFonts w:hint="default" w:ascii="Times New Roman" w:hAnsi="Times New Roman" w:cs="Times New Roman"/>
        </w:rPr>
      </w:pPr>
      <w:bookmarkStart w:id="23" w:name="_Toc496171429"/>
      <w:bookmarkStart w:id="24" w:name="_Toc26933"/>
      <w:r>
        <w:rPr>
          <w:rFonts w:hint="default" w:ascii="Times New Roman" w:hAnsi="Times New Roman" w:cs="Times New Roman"/>
        </w:rPr>
        <w:t>1.2.2.1水土流失现状</w:t>
      </w:r>
      <w:bookmarkEnd w:id="23"/>
      <w:bookmarkEnd w:id="24"/>
    </w:p>
    <w:p>
      <w:pPr>
        <w:pStyle w:val="13"/>
        <w:pageBreakBefore w:val="0"/>
        <w:kinsoku/>
        <w:bidi w:val="0"/>
        <w:spacing w:line="500" w:lineRule="exact"/>
        <w:ind w:firstLine="480" w:firstLineChars="200"/>
        <w:rPr>
          <w:rFonts w:hint="default" w:ascii="Times New Roman" w:hAnsi="Times New Roman" w:cs="Times New Roman" w:eastAsiaTheme="minorEastAsia"/>
          <w:kern w:val="2"/>
          <w:sz w:val="24"/>
          <w:szCs w:val="28"/>
          <w:lang w:val="en-US" w:eastAsia="zh-CN" w:bidi="ar-SA"/>
        </w:rPr>
      </w:pPr>
      <w:bookmarkStart w:id="25" w:name="_Toc22132"/>
      <w:bookmarkStart w:id="26" w:name="_Toc217232648"/>
      <w:r>
        <w:rPr>
          <w:rFonts w:hint="default" w:ascii="Times New Roman" w:hAnsi="Times New Roman" w:cs="Times New Roman" w:eastAsiaTheme="minorEastAsia"/>
          <w:kern w:val="2"/>
          <w:sz w:val="24"/>
          <w:szCs w:val="28"/>
          <w:lang w:val="en-US" w:eastAsia="zh-CN" w:bidi="ar-SA"/>
        </w:rPr>
        <w:t>泸州市位于四川南部，由于自然和人为因素的影响，水土流失较为严重。区域水土流失类型以面蚀、沟蚀和以滑坡泥石流等重力侵蚀为主。面蚀以旱地面蚀最为突出，沟蚀表现在侵沟形状为“V型”和“U型”。据1999年遥感技术，全市水土流失面积6247.61km²，比全省平均高出15.93%，多年平均侵蚀模数3112t/( km²·a)。</w:t>
      </w:r>
    </w:p>
    <w:p>
      <w:pPr>
        <w:pStyle w:val="32"/>
        <w:ind w:firstLine="480"/>
        <w:rPr>
          <w:rFonts w:hint="default" w:ascii="Times New Roman" w:hAnsi="Times New Roman" w:cs="Times New Roman"/>
        </w:rPr>
      </w:pPr>
      <w:r>
        <w:rPr>
          <w:rFonts w:hint="default" w:ascii="Times New Roman" w:hAnsi="Times New Roman" w:cs="Times New Roman"/>
        </w:rPr>
        <w:t>表</w:t>
      </w:r>
      <w:r>
        <w:rPr>
          <w:rFonts w:hint="default" w:ascii="Times New Roman" w:hAnsi="Times New Roman" w:cs="Times New Roman"/>
          <w:lang w:val="en-US" w:eastAsia="zh-CN"/>
        </w:rPr>
        <w:t>1</w:t>
      </w:r>
      <w:r>
        <w:rPr>
          <w:rFonts w:hint="default" w:ascii="Times New Roman" w:hAnsi="Times New Roman" w:cs="Times New Roman"/>
        </w:rPr>
        <w:t>-</w:t>
      </w:r>
      <w:r>
        <w:rPr>
          <w:rFonts w:hint="default" w:ascii="Times New Roman" w:hAnsi="Times New Roman" w:cs="Times New Roman"/>
          <w:lang w:val="en-US" w:eastAsia="zh-CN"/>
        </w:rPr>
        <w:t>4</w:t>
      </w:r>
      <w:r>
        <w:rPr>
          <w:rFonts w:hint="default" w:ascii="Times New Roman" w:hAnsi="Times New Roman" w:cs="Times New Roman"/>
        </w:rPr>
        <w:t xml:space="preserve">  </w:t>
      </w:r>
      <w:r>
        <w:rPr>
          <w:rFonts w:hint="default" w:ascii="Times New Roman" w:hAnsi="Times New Roman" w:cs="Times New Roman"/>
          <w:lang w:val="en-US" w:eastAsia="zh-CN"/>
        </w:rPr>
        <w:t>泸州市</w:t>
      </w:r>
      <w:r>
        <w:rPr>
          <w:rFonts w:hint="default" w:ascii="Times New Roman" w:hAnsi="Times New Roman" w:cs="Times New Roman"/>
        </w:rPr>
        <w:t>水土流失现状表</w:t>
      </w:r>
    </w:p>
    <w:tbl>
      <w:tblPr>
        <w:tblStyle w:val="46"/>
        <w:tblW w:w="928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827"/>
        <w:gridCol w:w="1023"/>
        <w:gridCol w:w="1137"/>
        <w:gridCol w:w="1027"/>
        <w:gridCol w:w="1092"/>
        <w:gridCol w:w="841"/>
        <w:gridCol w:w="13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849" w:type="dxa"/>
            <w:gridSpan w:val="2"/>
            <w:shd w:val="clear" w:color="auto" w:fill="auto"/>
            <w:noWrap w:val="0"/>
            <w:vAlign w:val="center"/>
          </w:tcPr>
          <w:p>
            <w:pPr>
              <w:pStyle w:val="459"/>
              <w:pageBreakBefore w:val="0"/>
              <w:kinsoku/>
              <w:bidi w:val="0"/>
              <w:spacing w:line="500" w:lineRule="exact"/>
              <w:jc w:val="center"/>
              <w:rPr>
                <w:rFonts w:hint="default" w:ascii="Times New Roman" w:hAnsi="Times New Roman" w:cs="Times New Roman"/>
              </w:rPr>
            </w:pPr>
            <w:r>
              <w:rPr>
                <w:rFonts w:hint="default" w:ascii="Times New Roman" w:hAnsi="Times New Roman" w:cs="Times New Roman"/>
              </w:rPr>
              <w:t>侵蚀强度</w:t>
            </w:r>
          </w:p>
        </w:tc>
        <w:tc>
          <w:tcPr>
            <w:tcW w:w="1023" w:type="dxa"/>
            <w:shd w:val="clear" w:color="auto" w:fill="auto"/>
            <w:noWrap w:val="0"/>
            <w:vAlign w:val="center"/>
          </w:tcPr>
          <w:p>
            <w:pPr>
              <w:pStyle w:val="459"/>
              <w:pageBreakBefore w:val="0"/>
              <w:kinsoku/>
              <w:bidi w:val="0"/>
              <w:spacing w:line="500" w:lineRule="exact"/>
              <w:jc w:val="center"/>
              <w:rPr>
                <w:rFonts w:hint="default" w:ascii="Times New Roman" w:hAnsi="Times New Roman" w:cs="Times New Roman"/>
              </w:rPr>
            </w:pPr>
            <w:r>
              <w:rPr>
                <w:rFonts w:hint="default" w:ascii="Times New Roman" w:hAnsi="Times New Roman" w:cs="Times New Roman"/>
              </w:rPr>
              <w:t>轻度</w:t>
            </w:r>
          </w:p>
        </w:tc>
        <w:tc>
          <w:tcPr>
            <w:tcW w:w="1137" w:type="dxa"/>
            <w:shd w:val="clear" w:color="auto" w:fill="auto"/>
            <w:noWrap w:val="0"/>
            <w:vAlign w:val="center"/>
          </w:tcPr>
          <w:p>
            <w:pPr>
              <w:pStyle w:val="459"/>
              <w:pageBreakBefore w:val="0"/>
              <w:kinsoku/>
              <w:bidi w:val="0"/>
              <w:spacing w:line="500" w:lineRule="exact"/>
              <w:jc w:val="center"/>
              <w:rPr>
                <w:rFonts w:hint="default" w:ascii="Times New Roman" w:hAnsi="Times New Roman" w:cs="Times New Roman"/>
              </w:rPr>
            </w:pPr>
            <w:r>
              <w:rPr>
                <w:rFonts w:hint="default" w:ascii="Times New Roman" w:hAnsi="Times New Roman" w:cs="Times New Roman"/>
              </w:rPr>
              <w:t>中度</w:t>
            </w:r>
          </w:p>
        </w:tc>
        <w:tc>
          <w:tcPr>
            <w:tcW w:w="1027" w:type="dxa"/>
            <w:shd w:val="clear" w:color="auto" w:fill="auto"/>
            <w:noWrap w:val="0"/>
            <w:vAlign w:val="center"/>
          </w:tcPr>
          <w:p>
            <w:pPr>
              <w:pStyle w:val="459"/>
              <w:pageBreakBefore w:val="0"/>
              <w:kinsoku/>
              <w:bidi w:val="0"/>
              <w:spacing w:line="500" w:lineRule="exact"/>
              <w:jc w:val="center"/>
              <w:rPr>
                <w:rFonts w:hint="default" w:ascii="Times New Roman" w:hAnsi="Times New Roman" w:cs="Times New Roman"/>
              </w:rPr>
            </w:pPr>
            <w:r>
              <w:rPr>
                <w:rFonts w:hint="default" w:ascii="Times New Roman" w:hAnsi="Times New Roman" w:cs="Times New Roman"/>
              </w:rPr>
              <w:t>强烈</w:t>
            </w:r>
          </w:p>
        </w:tc>
        <w:tc>
          <w:tcPr>
            <w:tcW w:w="1092" w:type="dxa"/>
            <w:shd w:val="clear" w:color="auto" w:fill="auto"/>
            <w:noWrap w:val="0"/>
            <w:vAlign w:val="center"/>
          </w:tcPr>
          <w:p>
            <w:pPr>
              <w:pStyle w:val="459"/>
              <w:pageBreakBefore w:val="0"/>
              <w:kinsoku/>
              <w:bidi w:val="0"/>
              <w:spacing w:line="500" w:lineRule="exact"/>
              <w:jc w:val="center"/>
              <w:rPr>
                <w:rFonts w:hint="default" w:ascii="Times New Roman" w:hAnsi="Times New Roman" w:cs="Times New Roman"/>
              </w:rPr>
            </w:pPr>
            <w:r>
              <w:rPr>
                <w:rFonts w:hint="default" w:ascii="Times New Roman" w:hAnsi="Times New Roman" w:cs="Times New Roman"/>
              </w:rPr>
              <w:t>极强烈</w:t>
            </w:r>
          </w:p>
        </w:tc>
        <w:tc>
          <w:tcPr>
            <w:tcW w:w="841" w:type="dxa"/>
            <w:shd w:val="clear" w:color="auto" w:fill="auto"/>
            <w:noWrap w:val="0"/>
            <w:vAlign w:val="center"/>
          </w:tcPr>
          <w:p>
            <w:pPr>
              <w:pStyle w:val="459"/>
              <w:pageBreakBefore w:val="0"/>
              <w:kinsoku/>
              <w:bidi w:val="0"/>
              <w:spacing w:line="500" w:lineRule="exact"/>
              <w:jc w:val="center"/>
              <w:rPr>
                <w:rFonts w:hint="default" w:ascii="Times New Roman" w:hAnsi="Times New Roman" w:cs="Times New Roman"/>
              </w:rPr>
            </w:pPr>
            <w:r>
              <w:rPr>
                <w:rFonts w:hint="default" w:ascii="Times New Roman" w:hAnsi="Times New Roman" w:cs="Times New Roman"/>
              </w:rPr>
              <w:t>剧烈</w:t>
            </w:r>
          </w:p>
        </w:tc>
        <w:tc>
          <w:tcPr>
            <w:tcW w:w="1317" w:type="dxa"/>
            <w:shd w:val="clear" w:color="auto" w:fill="auto"/>
            <w:noWrap w:val="0"/>
            <w:vAlign w:val="center"/>
          </w:tcPr>
          <w:p>
            <w:pPr>
              <w:pStyle w:val="459"/>
              <w:pageBreakBefore w:val="0"/>
              <w:kinsoku/>
              <w:bidi w:val="0"/>
              <w:spacing w:line="500" w:lineRule="exact"/>
              <w:jc w:val="center"/>
              <w:rPr>
                <w:rFonts w:hint="default" w:ascii="Times New Roman" w:hAnsi="Times New Roman" w:cs="Times New Roman"/>
              </w:rPr>
            </w:pPr>
            <w:r>
              <w:rPr>
                <w:rFonts w:hint="default" w:ascii="Times New Roman" w:hAnsi="Times New Roman" w:cs="Times New Roman"/>
              </w:rPr>
              <w:t>合 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2" w:type="dxa"/>
            <w:vMerge w:val="restart"/>
            <w:shd w:val="clear" w:color="auto" w:fill="auto"/>
            <w:noWrap w:val="0"/>
            <w:vAlign w:val="center"/>
          </w:tcPr>
          <w:p>
            <w:pPr>
              <w:pStyle w:val="459"/>
              <w:pageBreakBefore w:val="0"/>
              <w:kinsoku/>
              <w:bidi w:val="0"/>
              <w:spacing w:line="500" w:lineRule="exact"/>
              <w:jc w:val="center"/>
              <w:rPr>
                <w:rFonts w:hint="default" w:ascii="Times New Roman" w:hAnsi="Times New Roman" w:cs="Times New Roman"/>
              </w:rPr>
            </w:pPr>
            <w:r>
              <w:rPr>
                <w:rFonts w:hint="default" w:ascii="Times New Roman" w:hAnsi="Times New Roman" w:cs="Times New Roman"/>
              </w:rPr>
              <w:t>泸州市</w:t>
            </w:r>
          </w:p>
        </w:tc>
        <w:tc>
          <w:tcPr>
            <w:tcW w:w="1827" w:type="dxa"/>
            <w:shd w:val="clear" w:color="auto" w:fill="auto"/>
            <w:noWrap w:val="0"/>
            <w:vAlign w:val="center"/>
          </w:tcPr>
          <w:p>
            <w:pPr>
              <w:pStyle w:val="459"/>
              <w:pageBreakBefore w:val="0"/>
              <w:kinsoku/>
              <w:bidi w:val="0"/>
              <w:spacing w:line="500" w:lineRule="exact"/>
              <w:jc w:val="center"/>
              <w:rPr>
                <w:rFonts w:hint="default" w:ascii="Times New Roman" w:hAnsi="Times New Roman" w:cs="Times New Roman"/>
              </w:rPr>
            </w:pPr>
            <w:r>
              <w:rPr>
                <w:rFonts w:hint="default" w:ascii="Times New Roman" w:hAnsi="Times New Roman" w:cs="Times New Roman"/>
              </w:rPr>
              <w:t>流失面积(km²)</w:t>
            </w:r>
          </w:p>
        </w:tc>
        <w:tc>
          <w:tcPr>
            <w:tcW w:w="1023" w:type="dxa"/>
            <w:shd w:val="clear" w:color="auto" w:fill="auto"/>
            <w:noWrap/>
            <w:vAlign w:val="center"/>
          </w:tcPr>
          <w:p>
            <w:pPr>
              <w:pStyle w:val="459"/>
              <w:pageBreakBefore w:val="0"/>
              <w:kinsoku/>
              <w:bidi w:val="0"/>
              <w:spacing w:line="500" w:lineRule="exact"/>
              <w:jc w:val="center"/>
              <w:rPr>
                <w:rFonts w:hint="default" w:ascii="Times New Roman" w:hAnsi="Times New Roman" w:cs="Times New Roman"/>
              </w:rPr>
            </w:pPr>
            <w:r>
              <w:rPr>
                <w:rFonts w:hint="default" w:ascii="Times New Roman" w:hAnsi="Times New Roman" w:cs="Times New Roman"/>
              </w:rPr>
              <w:t>930.39</w:t>
            </w:r>
          </w:p>
        </w:tc>
        <w:tc>
          <w:tcPr>
            <w:tcW w:w="1137" w:type="dxa"/>
            <w:shd w:val="clear" w:color="auto" w:fill="auto"/>
            <w:noWrap/>
            <w:vAlign w:val="center"/>
          </w:tcPr>
          <w:p>
            <w:pPr>
              <w:pStyle w:val="459"/>
              <w:pageBreakBefore w:val="0"/>
              <w:kinsoku/>
              <w:bidi w:val="0"/>
              <w:spacing w:line="500" w:lineRule="exact"/>
              <w:jc w:val="center"/>
              <w:rPr>
                <w:rFonts w:hint="default" w:ascii="Times New Roman" w:hAnsi="Times New Roman" w:cs="Times New Roman"/>
              </w:rPr>
            </w:pPr>
            <w:r>
              <w:rPr>
                <w:rFonts w:hint="default" w:ascii="Times New Roman" w:hAnsi="Times New Roman" w:cs="Times New Roman"/>
              </w:rPr>
              <w:t>4365.81</w:t>
            </w:r>
          </w:p>
        </w:tc>
        <w:tc>
          <w:tcPr>
            <w:tcW w:w="1027" w:type="dxa"/>
            <w:shd w:val="clear" w:color="auto" w:fill="auto"/>
            <w:noWrap/>
            <w:vAlign w:val="center"/>
          </w:tcPr>
          <w:p>
            <w:pPr>
              <w:pStyle w:val="459"/>
              <w:pageBreakBefore w:val="0"/>
              <w:kinsoku/>
              <w:bidi w:val="0"/>
              <w:spacing w:line="500" w:lineRule="exact"/>
              <w:jc w:val="center"/>
              <w:rPr>
                <w:rFonts w:hint="default" w:ascii="Times New Roman" w:hAnsi="Times New Roman" w:cs="Times New Roman"/>
              </w:rPr>
            </w:pPr>
            <w:r>
              <w:rPr>
                <w:rFonts w:hint="default" w:ascii="Times New Roman" w:hAnsi="Times New Roman" w:cs="Times New Roman"/>
              </w:rPr>
              <w:t>929.77</w:t>
            </w:r>
          </w:p>
        </w:tc>
        <w:tc>
          <w:tcPr>
            <w:tcW w:w="1092" w:type="dxa"/>
            <w:shd w:val="clear" w:color="auto" w:fill="auto"/>
            <w:noWrap/>
            <w:vAlign w:val="center"/>
          </w:tcPr>
          <w:p>
            <w:pPr>
              <w:pStyle w:val="459"/>
              <w:pageBreakBefore w:val="0"/>
              <w:kinsoku/>
              <w:bidi w:val="0"/>
              <w:spacing w:line="500" w:lineRule="exact"/>
              <w:jc w:val="center"/>
              <w:rPr>
                <w:rFonts w:hint="default" w:ascii="Times New Roman" w:hAnsi="Times New Roman" w:cs="Times New Roman"/>
              </w:rPr>
            </w:pPr>
            <w:r>
              <w:rPr>
                <w:rFonts w:hint="default" w:ascii="Times New Roman" w:hAnsi="Times New Roman" w:cs="Times New Roman"/>
              </w:rPr>
              <w:t>20.11</w:t>
            </w:r>
          </w:p>
        </w:tc>
        <w:tc>
          <w:tcPr>
            <w:tcW w:w="841" w:type="dxa"/>
            <w:shd w:val="clear" w:color="auto" w:fill="auto"/>
            <w:noWrap w:val="0"/>
            <w:vAlign w:val="center"/>
          </w:tcPr>
          <w:p>
            <w:pPr>
              <w:pStyle w:val="459"/>
              <w:pageBreakBefore w:val="0"/>
              <w:kinsoku/>
              <w:bidi w:val="0"/>
              <w:spacing w:line="500" w:lineRule="exact"/>
              <w:jc w:val="center"/>
              <w:rPr>
                <w:rFonts w:hint="default" w:ascii="Times New Roman" w:hAnsi="Times New Roman" w:cs="Times New Roman"/>
              </w:rPr>
            </w:pPr>
            <w:r>
              <w:rPr>
                <w:rFonts w:hint="default" w:ascii="Times New Roman" w:hAnsi="Times New Roman" w:cs="Times New Roman"/>
              </w:rPr>
              <w:t>/</w:t>
            </w:r>
          </w:p>
        </w:tc>
        <w:tc>
          <w:tcPr>
            <w:tcW w:w="1317" w:type="dxa"/>
            <w:shd w:val="clear" w:color="auto" w:fill="auto"/>
            <w:noWrap w:val="0"/>
            <w:vAlign w:val="center"/>
          </w:tcPr>
          <w:p>
            <w:pPr>
              <w:pStyle w:val="459"/>
              <w:pageBreakBefore w:val="0"/>
              <w:kinsoku/>
              <w:bidi w:val="0"/>
              <w:spacing w:line="500" w:lineRule="exact"/>
              <w:jc w:val="center"/>
              <w:rPr>
                <w:rFonts w:hint="default" w:ascii="Times New Roman" w:hAnsi="Times New Roman" w:cs="Times New Roman"/>
              </w:rPr>
            </w:pPr>
            <w:r>
              <w:rPr>
                <w:rFonts w:hint="default" w:ascii="Times New Roman" w:hAnsi="Times New Roman" w:cs="Times New Roman"/>
              </w:rPr>
              <w:t>6247.61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2" w:type="dxa"/>
            <w:vMerge w:val="continue"/>
            <w:shd w:val="clear" w:color="auto" w:fill="auto"/>
            <w:noWrap w:val="0"/>
            <w:vAlign w:val="center"/>
          </w:tcPr>
          <w:p>
            <w:pPr>
              <w:pStyle w:val="459"/>
              <w:pageBreakBefore w:val="0"/>
              <w:kinsoku/>
              <w:bidi w:val="0"/>
              <w:spacing w:line="500" w:lineRule="exact"/>
              <w:ind w:firstLine="440" w:firstLineChars="200"/>
              <w:jc w:val="center"/>
              <w:rPr>
                <w:rFonts w:hint="default" w:ascii="Times New Roman" w:hAnsi="Times New Roman" w:cs="Times New Roman"/>
              </w:rPr>
            </w:pPr>
          </w:p>
        </w:tc>
        <w:tc>
          <w:tcPr>
            <w:tcW w:w="1827" w:type="dxa"/>
            <w:shd w:val="clear" w:color="auto" w:fill="auto"/>
            <w:noWrap w:val="0"/>
            <w:vAlign w:val="center"/>
          </w:tcPr>
          <w:p>
            <w:pPr>
              <w:pStyle w:val="459"/>
              <w:pageBreakBefore w:val="0"/>
              <w:kinsoku/>
              <w:bidi w:val="0"/>
              <w:spacing w:line="500" w:lineRule="exact"/>
              <w:jc w:val="center"/>
              <w:rPr>
                <w:rFonts w:hint="default" w:ascii="Times New Roman" w:hAnsi="Times New Roman" w:cs="Times New Roman"/>
              </w:rPr>
            </w:pPr>
            <w:r>
              <w:rPr>
                <w:rFonts w:hint="default" w:ascii="Times New Roman" w:hAnsi="Times New Roman" w:cs="Times New Roman"/>
              </w:rPr>
              <w:t>占流失面积(%)</w:t>
            </w:r>
          </w:p>
        </w:tc>
        <w:tc>
          <w:tcPr>
            <w:tcW w:w="1023" w:type="dxa"/>
            <w:shd w:val="clear" w:color="auto" w:fill="auto"/>
            <w:noWrap/>
            <w:vAlign w:val="center"/>
          </w:tcPr>
          <w:p>
            <w:pPr>
              <w:pStyle w:val="459"/>
              <w:pageBreakBefore w:val="0"/>
              <w:kinsoku/>
              <w:bidi w:val="0"/>
              <w:spacing w:line="500" w:lineRule="exact"/>
              <w:jc w:val="center"/>
              <w:rPr>
                <w:rFonts w:hint="default" w:ascii="Times New Roman" w:hAnsi="Times New Roman" w:cs="Times New Roman"/>
              </w:rPr>
            </w:pPr>
            <w:r>
              <w:rPr>
                <w:rFonts w:hint="default" w:ascii="Times New Roman" w:hAnsi="Times New Roman" w:cs="Times New Roman"/>
              </w:rPr>
              <w:t>14.89</w:t>
            </w:r>
          </w:p>
        </w:tc>
        <w:tc>
          <w:tcPr>
            <w:tcW w:w="1137" w:type="dxa"/>
            <w:shd w:val="clear" w:color="auto" w:fill="auto"/>
            <w:noWrap/>
            <w:vAlign w:val="center"/>
          </w:tcPr>
          <w:p>
            <w:pPr>
              <w:pStyle w:val="459"/>
              <w:pageBreakBefore w:val="0"/>
              <w:kinsoku/>
              <w:bidi w:val="0"/>
              <w:spacing w:line="500" w:lineRule="exact"/>
              <w:jc w:val="center"/>
              <w:rPr>
                <w:rFonts w:hint="default" w:ascii="Times New Roman" w:hAnsi="Times New Roman" w:cs="Times New Roman"/>
              </w:rPr>
            </w:pPr>
            <w:r>
              <w:rPr>
                <w:rFonts w:hint="default" w:ascii="Times New Roman" w:hAnsi="Times New Roman" w:cs="Times New Roman"/>
              </w:rPr>
              <w:t>69.88</w:t>
            </w:r>
          </w:p>
        </w:tc>
        <w:tc>
          <w:tcPr>
            <w:tcW w:w="1027" w:type="dxa"/>
            <w:shd w:val="clear" w:color="auto" w:fill="auto"/>
            <w:noWrap/>
            <w:vAlign w:val="center"/>
          </w:tcPr>
          <w:p>
            <w:pPr>
              <w:pStyle w:val="459"/>
              <w:pageBreakBefore w:val="0"/>
              <w:kinsoku/>
              <w:bidi w:val="0"/>
              <w:spacing w:line="500" w:lineRule="exact"/>
              <w:jc w:val="center"/>
              <w:rPr>
                <w:rFonts w:hint="default" w:ascii="Times New Roman" w:hAnsi="Times New Roman" w:cs="Times New Roman"/>
              </w:rPr>
            </w:pPr>
            <w:r>
              <w:rPr>
                <w:rFonts w:hint="default" w:ascii="Times New Roman" w:hAnsi="Times New Roman" w:cs="Times New Roman"/>
              </w:rPr>
              <w:t>14.88</w:t>
            </w:r>
          </w:p>
        </w:tc>
        <w:tc>
          <w:tcPr>
            <w:tcW w:w="1092" w:type="dxa"/>
            <w:shd w:val="clear" w:color="auto" w:fill="auto"/>
            <w:noWrap/>
            <w:vAlign w:val="center"/>
          </w:tcPr>
          <w:p>
            <w:pPr>
              <w:pStyle w:val="459"/>
              <w:pageBreakBefore w:val="0"/>
              <w:kinsoku/>
              <w:bidi w:val="0"/>
              <w:spacing w:line="500" w:lineRule="exact"/>
              <w:jc w:val="center"/>
              <w:rPr>
                <w:rFonts w:hint="default" w:ascii="Times New Roman" w:hAnsi="Times New Roman" w:cs="Times New Roman"/>
              </w:rPr>
            </w:pPr>
            <w:r>
              <w:rPr>
                <w:rFonts w:hint="default" w:ascii="Times New Roman" w:hAnsi="Times New Roman" w:cs="Times New Roman"/>
              </w:rPr>
              <w:t>0.32</w:t>
            </w:r>
          </w:p>
        </w:tc>
        <w:tc>
          <w:tcPr>
            <w:tcW w:w="841" w:type="dxa"/>
            <w:shd w:val="clear" w:color="auto" w:fill="auto"/>
            <w:noWrap w:val="0"/>
            <w:vAlign w:val="center"/>
          </w:tcPr>
          <w:p>
            <w:pPr>
              <w:pStyle w:val="459"/>
              <w:pageBreakBefore w:val="0"/>
              <w:kinsoku/>
              <w:bidi w:val="0"/>
              <w:spacing w:line="500" w:lineRule="exact"/>
              <w:jc w:val="center"/>
              <w:rPr>
                <w:rFonts w:hint="default" w:ascii="Times New Roman" w:hAnsi="Times New Roman" w:cs="Times New Roman"/>
              </w:rPr>
            </w:pPr>
            <w:r>
              <w:rPr>
                <w:rFonts w:hint="default" w:ascii="Times New Roman" w:hAnsi="Times New Roman" w:cs="Times New Roman"/>
              </w:rPr>
              <w:t>/</w:t>
            </w:r>
          </w:p>
        </w:tc>
        <w:tc>
          <w:tcPr>
            <w:tcW w:w="1317" w:type="dxa"/>
            <w:shd w:val="clear" w:color="auto" w:fill="auto"/>
            <w:noWrap w:val="0"/>
            <w:vAlign w:val="center"/>
          </w:tcPr>
          <w:p>
            <w:pPr>
              <w:pStyle w:val="459"/>
              <w:pageBreakBefore w:val="0"/>
              <w:kinsoku/>
              <w:bidi w:val="0"/>
              <w:spacing w:line="500" w:lineRule="exact"/>
              <w:jc w:val="center"/>
              <w:rPr>
                <w:rFonts w:hint="default" w:ascii="Times New Roman" w:hAnsi="Times New Roman" w:cs="Times New Roman"/>
              </w:rPr>
            </w:pPr>
            <w:r>
              <w:rPr>
                <w:rFonts w:hint="default" w:ascii="Times New Roman" w:hAnsi="Times New Roman" w:cs="Times New Roma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22" w:type="dxa"/>
            <w:vMerge w:val="continue"/>
            <w:shd w:val="clear" w:color="auto" w:fill="auto"/>
            <w:noWrap w:val="0"/>
            <w:vAlign w:val="center"/>
          </w:tcPr>
          <w:p>
            <w:pPr>
              <w:pStyle w:val="459"/>
              <w:pageBreakBefore w:val="0"/>
              <w:kinsoku/>
              <w:bidi w:val="0"/>
              <w:spacing w:line="500" w:lineRule="exact"/>
              <w:ind w:firstLine="440" w:firstLineChars="200"/>
              <w:jc w:val="center"/>
              <w:rPr>
                <w:rFonts w:hint="default" w:ascii="Times New Roman" w:hAnsi="Times New Roman" w:cs="Times New Roman"/>
              </w:rPr>
            </w:pPr>
          </w:p>
        </w:tc>
        <w:tc>
          <w:tcPr>
            <w:tcW w:w="1827" w:type="dxa"/>
            <w:shd w:val="clear" w:color="auto" w:fill="auto"/>
            <w:noWrap w:val="0"/>
            <w:vAlign w:val="center"/>
          </w:tcPr>
          <w:p>
            <w:pPr>
              <w:pStyle w:val="459"/>
              <w:pageBreakBefore w:val="0"/>
              <w:kinsoku/>
              <w:bidi w:val="0"/>
              <w:spacing w:line="500" w:lineRule="exact"/>
              <w:jc w:val="center"/>
              <w:rPr>
                <w:rFonts w:hint="default" w:ascii="Times New Roman" w:hAnsi="Times New Roman" w:cs="Times New Roman"/>
              </w:rPr>
            </w:pPr>
            <w:r>
              <w:rPr>
                <w:rFonts w:hint="default" w:ascii="Times New Roman" w:hAnsi="Times New Roman" w:cs="Times New Roman"/>
              </w:rPr>
              <w:t>占幅员面积(%)</w:t>
            </w:r>
          </w:p>
        </w:tc>
        <w:tc>
          <w:tcPr>
            <w:tcW w:w="1023" w:type="dxa"/>
            <w:shd w:val="clear" w:color="auto" w:fill="auto"/>
            <w:noWrap/>
            <w:vAlign w:val="center"/>
          </w:tcPr>
          <w:p>
            <w:pPr>
              <w:pStyle w:val="459"/>
              <w:pageBreakBefore w:val="0"/>
              <w:kinsoku/>
              <w:bidi w:val="0"/>
              <w:spacing w:line="500" w:lineRule="exact"/>
              <w:jc w:val="center"/>
              <w:rPr>
                <w:rFonts w:hint="default" w:ascii="Times New Roman" w:hAnsi="Times New Roman" w:cs="Times New Roman"/>
              </w:rPr>
            </w:pPr>
            <w:r>
              <w:rPr>
                <w:rFonts w:hint="default" w:ascii="Times New Roman" w:hAnsi="Times New Roman" w:cs="Times New Roman"/>
              </w:rPr>
              <w:t>7.60</w:t>
            </w:r>
          </w:p>
        </w:tc>
        <w:tc>
          <w:tcPr>
            <w:tcW w:w="1137" w:type="dxa"/>
            <w:shd w:val="clear" w:color="auto" w:fill="auto"/>
            <w:noWrap/>
            <w:vAlign w:val="center"/>
          </w:tcPr>
          <w:p>
            <w:pPr>
              <w:pStyle w:val="459"/>
              <w:pageBreakBefore w:val="0"/>
              <w:kinsoku/>
              <w:bidi w:val="0"/>
              <w:spacing w:line="500" w:lineRule="exact"/>
              <w:jc w:val="center"/>
              <w:rPr>
                <w:rFonts w:hint="default" w:ascii="Times New Roman" w:hAnsi="Times New Roman" w:cs="Times New Roman"/>
              </w:rPr>
            </w:pPr>
            <w:r>
              <w:rPr>
                <w:rFonts w:hint="default" w:ascii="Times New Roman" w:hAnsi="Times New Roman" w:cs="Times New Roman"/>
              </w:rPr>
              <w:t>35.66</w:t>
            </w:r>
          </w:p>
        </w:tc>
        <w:tc>
          <w:tcPr>
            <w:tcW w:w="1027" w:type="dxa"/>
            <w:shd w:val="clear" w:color="auto" w:fill="auto"/>
            <w:noWrap/>
            <w:vAlign w:val="center"/>
          </w:tcPr>
          <w:p>
            <w:pPr>
              <w:pStyle w:val="459"/>
              <w:pageBreakBefore w:val="0"/>
              <w:kinsoku/>
              <w:bidi w:val="0"/>
              <w:spacing w:line="500" w:lineRule="exact"/>
              <w:jc w:val="center"/>
              <w:rPr>
                <w:rFonts w:hint="default" w:ascii="Times New Roman" w:hAnsi="Times New Roman" w:cs="Times New Roman"/>
              </w:rPr>
            </w:pPr>
            <w:r>
              <w:rPr>
                <w:rFonts w:hint="default" w:ascii="Times New Roman" w:hAnsi="Times New Roman" w:cs="Times New Roman"/>
              </w:rPr>
              <w:t>7.59</w:t>
            </w:r>
          </w:p>
        </w:tc>
        <w:tc>
          <w:tcPr>
            <w:tcW w:w="1092" w:type="dxa"/>
            <w:shd w:val="clear" w:color="auto" w:fill="auto"/>
            <w:noWrap/>
            <w:vAlign w:val="center"/>
          </w:tcPr>
          <w:p>
            <w:pPr>
              <w:pStyle w:val="459"/>
              <w:pageBreakBefore w:val="0"/>
              <w:kinsoku/>
              <w:bidi w:val="0"/>
              <w:spacing w:line="500" w:lineRule="exact"/>
              <w:jc w:val="center"/>
              <w:rPr>
                <w:rFonts w:hint="default" w:ascii="Times New Roman" w:hAnsi="Times New Roman" w:cs="Times New Roman"/>
              </w:rPr>
            </w:pPr>
            <w:r>
              <w:rPr>
                <w:rFonts w:hint="default" w:ascii="Times New Roman" w:hAnsi="Times New Roman" w:cs="Times New Roman"/>
              </w:rPr>
              <w:t>0.16</w:t>
            </w:r>
          </w:p>
        </w:tc>
        <w:tc>
          <w:tcPr>
            <w:tcW w:w="841" w:type="dxa"/>
            <w:shd w:val="clear" w:color="auto" w:fill="auto"/>
            <w:noWrap w:val="0"/>
            <w:vAlign w:val="center"/>
          </w:tcPr>
          <w:p>
            <w:pPr>
              <w:pStyle w:val="459"/>
              <w:pageBreakBefore w:val="0"/>
              <w:kinsoku/>
              <w:bidi w:val="0"/>
              <w:spacing w:line="500" w:lineRule="exact"/>
              <w:jc w:val="center"/>
              <w:rPr>
                <w:rFonts w:hint="default" w:ascii="Times New Roman" w:hAnsi="Times New Roman" w:cs="Times New Roman"/>
              </w:rPr>
            </w:pPr>
            <w:r>
              <w:rPr>
                <w:rFonts w:hint="default" w:ascii="Times New Roman" w:hAnsi="Times New Roman" w:cs="Times New Roman"/>
              </w:rPr>
              <w:t>/</w:t>
            </w:r>
          </w:p>
        </w:tc>
        <w:tc>
          <w:tcPr>
            <w:tcW w:w="1317" w:type="dxa"/>
            <w:shd w:val="clear" w:color="auto" w:fill="auto"/>
            <w:noWrap w:val="0"/>
            <w:vAlign w:val="center"/>
          </w:tcPr>
          <w:p>
            <w:pPr>
              <w:pStyle w:val="459"/>
              <w:pageBreakBefore w:val="0"/>
              <w:kinsoku/>
              <w:bidi w:val="0"/>
              <w:spacing w:line="500" w:lineRule="exact"/>
              <w:jc w:val="center"/>
              <w:rPr>
                <w:rFonts w:hint="default" w:ascii="Times New Roman" w:hAnsi="Times New Roman" w:cs="Times New Roman"/>
              </w:rPr>
            </w:pPr>
            <w:r>
              <w:rPr>
                <w:rFonts w:hint="default" w:ascii="Times New Roman" w:hAnsi="Times New Roman" w:cs="Times New Roman"/>
              </w:rPr>
              <w:t>51.03</w:t>
            </w:r>
          </w:p>
        </w:tc>
      </w:tr>
    </w:tbl>
    <w:p>
      <w:pPr>
        <w:pStyle w:val="6"/>
        <w:rPr>
          <w:rFonts w:hint="default" w:ascii="Times New Roman" w:hAnsi="Times New Roman" w:cs="Times New Roman"/>
        </w:rPr>
      </w:pPr>
      <w:bookmarkStart w:id="27" w:name="_Toc496171430"/>
      <w:r>
        <w:rPr>
          <w:rFonts w:hint="default" w:ascii="Times New Roman" w:hAnsi="Times New Roman" w:cs="Times New Roman"/>
        </w:rPr>
        <w:t>1.2.2.2</w:t>
      </w:r>
      <w:bookmarkEnd w:id="25"/>
      <w:r>
        <w:rPr>
          <w:rFonts w:hint="default" w:ascii="Times New Roman" w:hAnsi="Times New Roman" w:cs="Times New Roman"/>
        </w:rPr>
        <w:t>水土保持现状</w:t>
      </w:r>
      <w:bookmarkEnd w:id="27"/>
    </w:p>
    <w:p>
      <w:pPr>
        <w:pStyle w:val="440"/>
        <w:ind w:firstLine="480"/>
        <w:rPr>
          <w:rFonts w:hint="default" w:ascii="Times New Roman" w:hAnsi="Times New Roman" w:cs="Times New Roman"/>
        </w:rPr>
      </w:pPr>
      <w:bookmarkStart w:id="28" w:name="_Toc5526"/>
      <w:r>
        <w:rPr>
          <w:rFonts w:hint="default" w:ascii="Times New Roman" w:hAnsi="Times New Roman" w:cs="Times New Roman"/>
          <w:lang w:val="en-US" w:eastAsia="zh-CN"/>
        </w:rPr>
        <w:t>泸州市</w:t>
      </w:r>
      <w:r>
        <w:rPr>
          <w:rFonts w:hint="default" w:ascii="Times New Roman" w:hAnsi="Times New Roman" w:cs="Times New Roman"/>
        </w:rPr>
        <w:t>逐步开展了以小流域为单元，以坡改梯、经果林、水保林为重点的综合治理。近年来，</w:t>
      </w:r>
      <w:r>
        <w:rPr>
          <w:rFonts w:hint="default" w:ascii="Times New Roman" w:hAnsi="Times New Roman" w:cs="Times New Roman"/>
          <w:lang w:val="en-US" w:eastAsia="zh-CN"/>
        </w:rPr>
        <w:t>全市</w:t>
      </w:r>
      <w:r>
        <w:rPr>
          <w:rFonts w:hint="default" w:ascii="Times New Roman" w:hAnsi="Times New Roman" w:cs="Times New Roman"/>
        </w:rPr>
        <w:t>各类水保项目工作正紧锣密鼓开展。在开展水土流失治理的同时，</w:t>
      </w:r>
      <w:r>
        <w:rPr>
          <w:rFonts w:hint="default" w:ascii="Times New Roman" w:hAnsi="Times New Roman" w:cs="Times New Roman"/>
          <w:lang w:val="en-US" w:eastAsia="zh-CN"/>
        </w:rPr>
        <w:t>泸州市</w:t>
      </w:r>
      <w:r>
        <w:rPr>
          <w:rFonts w:hint="default" w:ascii="Times New Roman" w:hAnsi="Times New Roman" w:cs="Times New Roman"/>
        </w:rPr>
        <w:t>还加强水土保持法规建设，成立水土保持办公室和水土保持预防监督站，水土保持工作逐步走上了法制化轨道，基本改变了治理落后于破坏的被动局面，同时还依照《中华人民共和国水土保持法》，先后制定了一系列规范性文件，乡（镇）、村也制定了水土保持封育管理公约；实行水土保持方案联审联批制度和“三同时”制度，加大了水土流失案件的查处力度，基本控制了开发建设项目造成新的水土流失；封山育林，严禁乱砍滥伐，同时做好开源节能工作。</w:t>
      </w:r>
    </w:p>
    <w:p>
      <w:pPr>
        <w:pStyle w:val="6"/>
        <w:rPr>
          <w:rFonts w:hint="default" w:ascii="Times New Roman" w:hAnsi="Times New Roman" w:cs="Times New Roman"/>
        </w:rPr>
      </w:pPr>
      <w:bookmarkStart w:id="29" w:name="_Toc496171431"/>
      <w:r>
        <w:rPr>
          <w:rFonts w:hint="default" w:ascii="Times New Roman" w:hAnsi="Times New Roman" w:cs="Times New Roman"/>
        </w:rPr>
        <w:t>1.2.2.3</w:t>
      </w:r>
      <w:bookmarkEnd w:id="26"/>
      <w:bookmarkEnd w:id="28"/>
      <w:r>
        <w:rPr>
          <w:rFonts w:hint="default" w:ascii="Times New Roman" w:hAnsi="Times New Roman" w:cs="Times New Roman"/>
        </w:rPr>
        <w:t>土壤侵蚀特点</w:t>
      </w:r>
      <w:bookmarkEnd w:id="29"/>
    </w:p>
    <w:p>
      <w:pPr>
        <w:pStyle w:val="440"/>
        <w:ind w:firstLine="480"/>
        <w:rPr>
          <w:rFonts w:hint="eastAsia" w:eastAsiaTheme="minorEastAsia"/>
          <w:lang w:eastAsia="zh-CN"/>
        </w:rPr>
      </w:pPr>
      <w:bookmarkStart w:id="30" w:name="_Toc502049571"/>
      <w:r>
        <w:rPr>
          <w:rFonts w:hint="eastAsia"/>
        </w:rPr>
        <w:t>项目区年均降雨量为</w:t>
      </w:r>
      <w:r>
        <w:t>850mm以上</w:t>
      </w:r>
      <w:r>
        <w:rPr>
          <w:rFonts w:hint="eastAsia"/>
        </w:rPr>
        <w:t>，工程区占地为</w:t>
      </w:r>
      <w:r>
        <w:rPr>
          <w:rFonts w:hint="eastAsia"/>
          <w:lang w:val="en-US" w:eastAsia="zh-CN"/>
        </w:rPr>
        <w:t>耕地</w:t>
      </w:r>
      <w:r>
        <w:rPr>
          <w:rFonts w:hint="eastAsia"/>
        </w:rPr>
        <w:t>。由于地形坡度较大，降水</w:t>
      </w:r>
      <w:r>
        <w:t>量大，加之长期受到人为活动的影响，地表土壤处于疏松状态，雨季来临容易发生水土流失。通过对工程区土地类型、地形坡度、植被覆盖率的调查，结合本项目所处地的地形地貌、气候水文、土壤植被等资料，在工程损坏水土保持设施面积预测的基础上，分析计算确定本工程土壤侵蚀模数背景值。工程</w:t>
      </w:r>
      <w:r>
        <w:rPr>
          <w:rFonts w:hint="eastAsia"/>
        </w:rPr>
        <w:t>监测</w:t>
      </w:r>
      <w:r>
        <w:t>范围土壤侵蚀模数为</w:t>
      </w:r>
      <w:r>
        <w:rPr>
          <w:rFonts w:hint="eastAsia"/>
          <w:lang w:val="en-US" w:eastAsia="zh-CN"/>
        </w:rPr>
        <w:t>2975</w:t>
      </w:r>
      <w:r>
        <w:t>t/km</w:t>
      </w:r>
      <w:r>
        <w:rPr>
          <w:vertAlign w:val="superscript"/>
        </w:rPr>
        <w:t>2</w:t>
      </w:r>
      <w:r>
        <w:t>·a</w:t>
      </w:r>
      <w:r>
        <w:rPr>
          <w:rFonts w:hint="eastAsia"/>
          <w:lang w:eastAsia="zh-CN"/>
        </w:rPr>
        <w:t>。</w:t>
      </w:r>
    </w:p>
    <w:p>
      <w:pPr>
        <w:pStyle w:val="440"/>
        <w:ind w:firstLine="480"/>
      </w:pPr>
      <w:r>
        <w:t>土壤侵蚀模数背景值计算详见表</w:t>
      </w:r>
      <w:r>
        <w:rPr>
          <w:rFonts w:hint="eastAsia"/>
          <w:lang w:val="en-US" w:eastAsia="zh-CN"/>
        </w:rPr>
        <w:t>1</w:t>
      </w:r>
      <w:r>
        <w:rPr>
          <w:rFonts w:hint="eastAsia"/>
        </w:rPr>
        <w:t>-</w:t>
      </w:r>
      <w:r>
        <w:rPr>
          <w:rFonts w:hint="eastAsia"/>
          <w:lang w:val="en-US" w:eastAsia="zh-CN"/>
        </w:rPr>
        <w:t>5</w:t>
      </w:r>
      <w:r>
        <w:t>。</w:t>
      </w:r>
    </w:p>
    <w:p>
      <w:pPr>
        <w:pStyle w:val="32"/>
        <w:ind w:firstLine="480"/>
      </w:pPr>
      <w:r>
        <w:rPr>
          <w:rFonts w:hint="eastAsia"/>
        </w:rPr>
        <w:t>表</w:t>
      </w:r>
      <w:r>
        <w:rPr>
          <w:rFonts w:hint="eastAsia"/>
          <w:lang w:val="en-US" w:eastAsia="zh-CN"/>
        </w:rPr>
        <w:t>1</w:t>
      </w:r>
      <w:r>
        <w:rPr>
          <w:rFonts w:hint="eastAsia"/>
        </w:rPr>
        <w:t>-</w:t>
      </w:r>
      <w:r>
        <w:rPr>
          <w:rFonts w:hint="eastAsia"/>
          <w:lang w:val="en-US" w:eastAsia="zh-CN"/>
        </w:rPr>
        <w:t>5</w:t>
      </w:r>
      <w:r>
        <w:rPr>
          <w:rFonts w:hint="eastAsia"/>
        </w:rPr>
        <w:t xml:space="preserve">  工程监测范围土壤侵蚀模数背景值计算表</w:t>
      </w:r>
    </w:p>
    <w:tbl>
      <w:tblPr>
        <w:tblStyle w:val="46"/>
        <w:tblW w:w="8981"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985"/>
        <w:gridCol w:w="864"/>
        <w:gridCol w:w="943"/>
        <w:gridCol w:w="995"/>
        <w:gridCol w:w="1139"/>
        <w:gridCol w:w="704"/>
        <w:gridCol w:w="1428"/>
        <w:gridCol w:w="92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22" w:hRule="atLeast"/>
        </w:trPr>
        <w:tc>
          <w:tcPr>
            <w:tcW w:w="1985" w:type="dxa"/>
            <w:vAlign w:val="center"/>
          </w:tcPr>
          <w:p>
            <w:pPr>
              <w:pStyle w:val="158"/>
            </w:pPr>
            <w:r>
              <w:rPr>
                <w:rFonts w:hint="eastAsia"/>
              </w:rPr>
              <w:t>项目名称</w:t>
            </w:r>
          </w:p>
        </w:tc>
        <w:tc>
          <w:tcPr>
            <w:tcW w:w="864" w:type="dxa"/>
            <w:vAlign w:val="center"/>
          </w:tcPr>
          <w:p>
            <w:pPr>
              <w:pStyle w:val="158"/>
            </w:pPr>
            <w:r>
              <w:rPr>
                <w:rFonts w:hint="eastAsia"/>
              </w:rPr>
              <w:t>占地类型</w:t>
            </w:r>
          </w:p>
        </w:tc>
        <w:tc>
          <w:tcPr>
            <w:tcW w:w="943" w:type="dxa"/>
            <w:vAlign w:val="center"/>
          </w:tcPr>
          <w:p>
            <w:pPr>
              <w:pStyle w:val="158"/>
            </w:pPr>
            <w:r>
              <w:rPr>
                <w:rFonts w:hint="eastAsia"/>
              </w:rPr>
              <w:t>面积（</w:t>
            </w:r>
            <w:r>
              <w:t>hm</w:t>
            </w:r>
            <w:r>
              <w:rPr>
                <w:vertAlign w:val="superscript"/>
              </w:rPr>
              <w:t>2</w:t>
            </w:r>
            <w:r>
              <w:rPr>
                <w:rFonts w:hint="eastAsia"/>
              </w:rPr>
              <w:t>）</w:t>
            </w:r>
          </w:p>
        </w:tc>
        <w:tc>
          <w:tcPr>
            <w:tcW w:w="995" w:type="dxa"/>
            <w:vAlign w:val="center"/>
          </w:tcPr>
          <w:p>
            <w:pPr>
              <w:pStyle w:val="158"/>
            </w:pPr>
            <w:r>
              <w:rPr>
                <w:rFonts w:hint="eastAsia"/>
              </w:rPr>
              <w:t>平均坡度</w:t>
            </w:r>
            <w:r>
              <w:t xml:space="preserve"> </w:t>
            </w:r>
            <w:r>
              <w:rPr>
                <w:rFonts w:hint="eastAsia"/>
              </w:rPr>
              <w:t>（°）</w:t>
            </w:r>
          </w:p>
        </w:tc>
        <w:tc>
          <w:tcPr>
            <w:tcW w:w="1139" w:type="dxa"/>
            <w:vAlign w:val="center"/>
          </w:tcPr>
          <w:p>
            <w:pPr>
              <w:pStyle w:val="158"/>
            </w:pPr>
            <w:r>
              <w:rPr>
                <w:rFonts w:hint="eastAsia"/>
              </w:rPr>
              <w:t>植被覆盖度（</w:t>
            </w:r>
            <w:r>
              <w:t>%</w:t>
            </w:r>
            <w:r>
              <w:rPr>
                <w:rFonts w:hint="eastAsia"/>
              </w:rPr>
              <w:t>）</w:t>
            </w:r>
          </w:p>
        </w:tc>
        <w:tc>
          <w:tcPr>
            <w:tcW w:w="704" w:type="dxa"/>
            <w:vAlign w:val="center"/>
          </w:tcPr>
          <w:p>
            <w:pPr>
              <w:pStyle w:val="158"/>
            </w:pPr>
            <w:r>
              <w:rPr>
                <w:rFonts w:hint="eastAsia"/>
              </w:rPr>
              <w:t>侵蚀强度</w:t>
            </w:r>
          </w:p>
        </w:tc>
        <w:tc>
          <w:tcPr>
            <w:tcW w:w="1428" w:type="dxa"/>
            <w:vAlign w:val="center"/>
          </w:tcPr>
          <w:p>
            <w:pPr>
              <w:pStyle w:val="158"/>
            </w:pPr>
            <w:r>
              <w:rPr>
                <w:rFonts w:hint="eastAsia"/>
              </w:rPr>
              <w:t>平均侵蚀模数</w:t>
            </w:r>
            <w:r>
              <w:t xml:space="preserve"> </w:t>
            </w:r>
            <w:r>
              <w:rPr>
                <w:rFonts w:hint="eastAsia"/>
              </w:rPr>
              <w:t>（</w:t>
            </w:r>
            <w:r>
              <w:t>t/km</w:t>
            </w:r>
            <w:r>
              <w:rPr>
                <w:vertAlign w:val="superscript"/>
              </w:rPr>
              <w:t>2</w:t>
            </w:r>
            <w:r>
              <w:rPr>
                <w:rFonts w:hint="eastAsia"/>
              </w:rPr>
              <w:t>）</w:t>
            </w:r>
          </w:p>
        </w:tc>
        <w:tc>
          <w:tcPr>
            <w:tcW w:w="923" w:type="dxa"/>
            <w:vAlign w:val="center"/>
          </w:tcPr>
          <w:p>
            <w:pPr>
              <w:pStyle w:val="158"/>
            </w:pPr>
            <w:r>
              <w:rPr>
                <w:rFonts w:hint="eastAsia"/>
              </w:rPr>
              <w:t>年侵蚀量（</w:t>
            </w:r>
            <w:r>
              <w:t>t/a</w:t>
            </w:r>
            <w:r>
              <w:rPr>
                <w:rFonts w:hint="eastAsia"/>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54" w:hRule="atLeast"/>
        </w:trPr>
        <w:tc>
          <w:tcPr>
            <w:tcW w:w="1985" w:type="dxa"/>
            <w:vAlign w:val="center"/>
          </w:tcPr>
          <w:p>
            <w:pPr>
              <w:pStyle w:val="158"/>
              <w:rPr>
                <w:rFonts w:hint="eastAsia" w:eastAsia="宋体"/>
                <w:lang w:val="en-US" w:eastAsia="zh-CN"/>
              </w:rPr>
            </w:pPr>
            <w:r>
              <w:rPr>
                <w:rFonts w:hint="eastAsia"/>
                <w:lang w:val="en-US" w:eastAsia="zh-CN"/>
              </w:rPr>
              <w:t>主体建筑区</w:t>
            </w:r>
          </w:p>
        </w:tc>
        <w:tc>
          <w:tcPr>
            <w:tcW w:w="864" w:type="dxa"/>
            <w:vAlign w:val="center"/>
          </w:tcPr>
          <w:p>
            <w:pPr>
              <w:pStyle w:val="158"/>
              <w:rPr>
                <w:rFonts w:hint="eastAsia" w:eastAsia="宋体"/>
                <w:lang w:eastAsia="zh-CN"/>
              </w:rPr>
            </w:pPr>
            <w:r>
              <w:rPr>
                <w:rFonts w:hint="eastAsia"/>
                <w:lang w:val="en-US" w:eastAsia="zh-CN"/>
              </w:rPr>
              <w:t>耕地</w:t>
            </w:r>
          </w:p>
        </w:tc>
        <w:tc>
          <w:tcPr>
            <w:tcW w:w="943" w:type="dxa"/>
            <w:vAlign w:val="center"/>
          </w:tcPr>
          <w:p>
            <w:pPr>
              <w:pStyle w:val="158"/>
              <w:rPr>
                <w:rFonts w:hint="eastAsia" w:eastAsia="宋体"/>
                <w:lang w:val="en-US" w:eastAsia="zh-CN"/>
              </w:rPr>
            </w:pPr>
            <w:r>
              <w:rPr>
                <w:rFonts w:hint="eastAsia"/>
                <w:lang w:val="en-US" w:eastAsia="zh-CN"/>
              </w:rPr>
              <w:t>0.46</w:t>
            </w:r>
          </w:p>
        </w:tc>
        <w:tc>
          <w:tcPr>
            <w:tcW w:w="995" w:type="dxa"/>
            <w:vAlign w:val="center"/>
          </w:tcPr>
          <w:p>
            <w:pPr>
              <w:pStyle w:val="158"/>
            </w:pPr>
            <w:r>
              <w:rPr>
                <w:rFonts w:hint="eastAsia"/>
                <w:lang w:val="en-US" w:eastAsia="zh-CN"/>
              </w:rPr>
              <w:t>8</w:t>
            </w:r>
            <w:r>
              <w:rPr>
                <w:rFonts w:hint="eastAsia"/>
              </w:rPr>
              <w:t>～</w:t>
            </w:r>
            <w:r>
              <w:rPr>
                <w:rFonts w:hint="eastAsia"/>
                <w:lang w:val="en-US" w:eastAsia="zh-CN"/>
              </w:rPr>
              <w:t>15</w:t>
            </w:r>
          </w:p>
        </w:tc>
        <w:tc>
          <w:tcPr>
            <w:tcW w:w="1139" w:type="dxa"/>
            <w:vAlign w:val="center"/>
          </w:tcPr>
          <w:p>
            <w:pPr>
              <w:pStyle w:val="158"/>
            </w:pPr>
            <w:r>
              <w:rPr>
                <w:rFonts w:hint="eastAsia"/>
              </w:rPr>
              <w:t>&lt;</w:t>
            </w:r>
            <w:r>
              <w:rPr>
                <w:rFonts w:hint="eastAsia"/>
                <w:lang w:val="en-US" w:eastAsia="zh-CN"/>
              </w:rPr>
              <w:t>30</w:t>
            </w:r>
          </w:p>
        </w:tc>
        <w:tc>
          <w:tcPr>
            <w:tcW w:w="704" w:type="dxa"/>
            <w:vAlign w:val="center"/>
          </w:tcPr>
          <w:p>
            <w:pPr>
              <w:pStyle w:val="158"/>
            </w:pPr>
            <w:r>
              <w:rPr>
                <w:rFonts w:hint="eastAsia"/>
              </w:rPr>
              <w:t>中度</w:t>
            </w:r>
          </w:p>
        </w:tc>
        <w:tc>
          <w:tcPr>
            <w:tcW w:w="1428" w:type="dxa"/>
            <w:vAlign w:val="center"/>
          </w:tcPr>
          <w:p>
            <w:pPr>
              <w:pStyle w:val="158"/>
            </w:pPr>
            <w:r>
              <w:rPr>
                <w:rFonts w:hint="eastAsia"/>
                <w:lang w:val="en-US" w:eastAsia="zh-CN"/>
              </w:rPr>
              <w:t>2600</w:t>
            </w:r>
          </w:p>
        </w:tc>
        <w:tc>
          <w:tcPr>
            <w:tcW w:w="923" w:type="dxa"/>
            <w:vAlign w:val="center"/>
          </w:tcPr>
          <w:p>
            <w:pPr>
              <w:pStyle w:val="158"/>
              <w:rPr>
                <w:rFonts w:hint="eastAsia" w:eastAsia="宋体"/>
                <w:lang w:val="en-US" w:eastAsia="zh-CN"/>
              </w:rPr>
            </w:pPr>
            <w:r>
              <w:rPr>
                <w:rFonts w:hint="eastAsia"/>
                <w:lang w:val="en-US" w:eastAsia="zh-CN"/>
              </w:rPr>
              <w:t>11.96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53" w:hRule="atLeast"/>
        </w:trPr>
        <w:tc>
          <w:tcPr>
            <w:tcW w:w="1985" w:type="dxa"/>
            <w:vAlign w:val="center"/>
          </w:tcPr>
          <w:p>
            <w:pPr>
              <w:pStyle w:val="158"/>
              <w:rPr>
                <w:rFonts w:hint="eastAsia" w:eastAsia="宋体"/>
                <w:lang w:val="en-US" w:eastAsia="zh-CN"/>
              </w:rPr>
            </w:pPr>
            <w:r>
              <w:rPr>
                <w:rFonts w:hint="eastAsia"/>
                <w:lang w:val="en-US" w:eastAsia="zh-CN"/>
              </w:rPr>
              <w:t>道路广场区</w:t>
            </w:r>
          </w:p>
        </w:tc>
        <w:tc>
          <w:tcPr>
            <w:tcW w:w="864" w:type="dxa"/>
            <w:vAlign w:val="center"/>
          </w:tcPr>
          <w:p>
            <w:pPr>
              <w:pStyle w:val="158"/>
            </w:pPr>
            <w:r>
              <w:rPr>
                <w:rFonts w:hint="eastAsia"/>
                <w:lang w:val="en-US" w:eastAsia="zh-CN"/>
              </w:rPr>
              <w:t>耕地</w:t>
            </w:r>
          </w:p>
        </w:tc>
        <w:tc>
          <w:tcPr>
            <w:tcW w:w="943" w:type="dxa"/>
            <w:vAlign w:val="center"/>
          </w:tcPr>
          <w:p>
            <w:pPr>
              <w:pStyle w:val="158"/>
              <w:rPr>
                <w:rFonts w:hint="eastAsia" w:eastAsia="宋体"/>
                <w:lang w:val="en-US" w:eastAsia="zh-CN"/>
              </w:rPr>
            </w:pPr>
            <w:r>
              <w:rPr>
                <w:rFonts w:hint="eastAsia"/>
                <w:lang w:val="en-US" w:eastAsia="zh-CN"/>
              </w:rPr>
              <w:t>0.40</w:t>
            </w:r>
          </w:p>
        </w:tc>
        <w:tc>
          <w:tcPr>
            <w:tcW w:w="995" w:type="dxa"/>
            <w:vAlign w:val="center"/>
          </w:tcPr>
          <w:p>
            <w:pPr>
              <w:pStyle w:val="158"/>
            </w:pPr>
            <w:r>
              <w:rPr>
                <w:rFonts w:hint="eastAsia"/>
                <w:lang w:val="en-US" w:eastAsia="zh-CN"/>
              </w:rPr>
              <w:t>8</w:t>
            </w:r>
            <w:r>
              <w:rPr>
                <w:rFonts w:hint="eastAsia"/>
              </w:rPr>
              <w:t>～</w:t>
            </w:r>
            <w:r>
              <w:rPr>
                <w:rFonts w:hint="eastAsia"/>
                <w:lang w:val="en-US" w:eastAsia="zh-CN"/>
              </w:rPr>
              <w:t>1</w:t>
            </w:r>
            <w:r>
              <w:t>5</w:t>
            </w:r>
          </w:p>
        </w:tc>
        <w:tc>
          <w:tcPr>
            <w:tcW w:w="1139" w:type="dxa"/>
            <w:vAlign w:val="center"/>
          </w:tcPr>
          <w:p>
            <w:pPr>
              <w:pStyle w:val="158"/>
            </w:pPr>
            <w:r>
              <w:rPr>
                <w:rFonts w:hint="eastAsia"/>
              </w:rPr>
              <w:t>&lt;</w:t>
            </w:r>
            <w:r>
              <w:rPr>
                <w:rFonts w:hint="eastAsia"/>
                <w:lang w:val="en-US" w:eastAsia="zh-CN"/>
              </w:rPr>
              <w:t>30</w:t>
            </w:r>
          </w:p>
        </w:tc>
        <w:tc>
          <w:tcPr>
            <w:tcW w:w="704" w:type="dxa"/>
            <w:vAlign w:val="center"/>
          </w:tcPr>
          <w:p>
            <w:pPr>
              <w:pStyle w:val="158"/>
            </w:pPr>
            <w:r>
              <w:rPr>
                <w:rFonts w:hint="eastAsia"/>
              </w:rPr>
              <w:t>中度</w:t>
            </w:r>
          </w:p>
        </w:tc>
        <w:tc>
          <w:tcPr>
            <w:tcW w:w="1428" w:type="dxa"/>
            <w:vAlign w:val="center"/>
          </w:tcPr>
          <w:p>
            <w:pPr>
              <w:pStyle w:val="158"/>
              <w:rPr>
                <w:rFonts w:hint="eastAsia" w:eastAsia="宋体"/>
                <w:lang w:val="en-US" w:eastAsia="zh-CN"/>
              </w:rPr>
            </w:pPr>
            <w:r>
              <w:rPr>
                <w:rFonts w:hint="eastAsia"/>
                <w:lang w:val="en-US" w:eastAsia="zh-CN"/>
              </w:rPr>
              <w:t>2800</w:t>
            </w:r>
          </w:p>
        </w:tc>
        <w:tc>
          <w:tcPr>
            <w:tcW w:w="923" w:type="dxa"/>
            <w:vAlign w:val="center"/>
          </w:tcPr>
          <w:p>
            <w:pPr>
              <w:pStyle w:val="158"/>
              <w:rPr>
                <w:rFonts w:hint="eastAsia" w:eastAsia="宋体"/>
                <w:lang w:val="en-US" w:eastAsia="zh-CN"/>
              </w:rPr>
            </w:pPr>
            <w:r>
              <w:rPr>
                <w:rFonts w:hint="eastAsia"/>
                <w:lang w:val="en-US" w:eastAsia="zh-CN"/>
              </w:rPr>
              <w:t>11.20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53" w:hRule="atLeast"/>
        </w:trPr>
        <w:tc>
          <w:tcPr>
            <w:tcW w:w="1985" w:type="dxa"/>
            <w:vAlign w:val="center"/>
          </w:tcPr>
          <w:p>
            <w:pPr>
              <w:pStyle w:val="158"/>
              <w:rPr>
                <w:rFonts w:hint="eastAsia" w:eastAsia="宋体"/>
                <w:lang w:val="en-US" w:eastAsia="zh-CN"/>
              </w:rPr>
            </w:pPr>
            <w:r>
              <w:rPr>
                <w:rFonts w:hint="eastAsia"/>
                <w:lang w:val="en-US" w:eastAsia="zh-CN"/>
              </w:rPr>
              <w:t>景观绿化区</w:t>
            </w:r>
          </w:p>
        </w:tc>
        <w:tc>
          <w:tcPr>
            <w:tcW w:w="864" w:type="dxa"/>
            <w:vAlign w:val="center"/>
          </w:tcPr>
          <w:p>
            <w:pPr>
              <w:pStyle w:val="158"/>
              <w:rPr>
                <w:rFonts w:hint="eastAsia"/>
              </w:rPr>
            </w:pPr>
            <w:r>
              <w:rPr>
                <w:rFonts w:hint="eastAsia"/>
                <w:lang w:val="en-US" w:eastAsia="zh-CN"/>
              </w:rPr>
              <w:t>耕地</w:t>
            </w:r>
          </w:p>
        </w:tc>
        <w:tc>
          <w:tcPr>
            <w:tcW w:w="943" w:type="dxa"/>
            <w:vAlign w:val="center"/>
          </w:tcPr>
          <w:p>
            <w:pPr>
              <w:pStyle w:val="158"/>
              <w:rPr>
                <w:rFonts w:hint="eastAsia" w:eastAsia="宋体"/>
                <w:lang w:val="en-US" w:eastAsia="zh-CN"/>
              </w:rPr>
            </w:pPr>
            <w:r>
              <w:rPr>
                <w:rFonts w:hint="eastAsia"/>
                <w:lang w:val="en-US" w:eastAsia="zh-CN"/>
              </w:rPr>
              <w:t>0.48</w:t>
            </w:r>
          </w:p>
        </w:tc>
        <w:tc>
          <w:tcPr>
            <w:tcW w:w="995" w:type="dxa"/>
            <w:vAlign w:val="center"/>
          </w:tcPr>
          <w:p>
            <w:pPr>
              <w:pStyle w:val="158"/>
            </w:pPr>
            <w:r>
              <w:rPr>
                <w:rFonts w:hint="eastAsia"/>
                <w:lang w:val="en-US" w:eastAsia="zh-CN"/>
              </w:rPr>
              <w:t>8</w:t>
            </w:r>
            <w:r>
              <w:rPr>
                <w:rFonts w:hint="eastAsia"/>
              </w:rPr>
              <w:t>～</w:t>
            </w:r>
            <w:r>
              <w:rPr>
                <w:rFonts w:hint="eastAsia"/>
                <w:lang w:val="en-US" w:eastAsia="zh-CN"/>
              </w:rPr>
              <w:t>1</w:t>
            </w:r>
            <w:r>
              <w:t>5</w:t>
            </w:r>
          </w:p>
        </w:tc>
        <w:tc>
          <w:tcPr>
            <w:tcW w:w="1139" w:type="dxa"/>
            <w:vAlign w:val="center"/>
          </w:tcPr>
          <w:p>
            <w:pPr>
              <w:pStyle w:val="158"/>
              <w:rPr>
                <w:rFonts w:hint="eastAsia" w:eastAsia="宋体"/>
                <w:lang w:val="en-US" w:eastAsia="zh-CN"/>
              </w:rPr>
            </w:pPr>
            <w:r>
              <w:rPr>
                <w:rFonts w:hint="eastAsia"/>
              </w:rPr>
              <w:t>&lt;</w:t>
            </w:r>
            <w:r>
              <w:rPr>
                <w:rFonts w:hint="eastAsia"/>
                <w:lang w:val="en-US" w:eastAsia="zh-CN"/>
              </w:rPr>
              <w:t>30</w:t>
            </w:r>
          </w:p>
        </w:tc>
        <w:tc>
          <w:tcPr>
            <w:tcW w:w="704" w:type="dxa"/>
            <w:vAlign w:val="center"/>
          </w:tcPr>
          <w:p>
            <w:pPr>
              <w:pStyle w:val="158"/>
              <w:rPr>
                <w:rFonts w:hint="eastAsia" w:eastAsia="宋体"/>
                <w:lang w:val="en-US" w:eastAsia="zh-CN"/>
              </w:rPr>
            </w:pPr>
            <w:r>
              <w:rPr>
                <w:rFonts w:hint="eastAsia"/>
                <w:lang w:val="en-US" w:eastAsia="zh-CN"/>
              </w:rPr>
              <w:t>中度</w:t>
            </w:r>
          </w:p>
        </w:tc>
        <w:tc>
          <w:tcPr>
            <w:tcW w:w="1428" w:type="dxa"/>
            <w:vAlign w:val="center"/>
          </w:tcPr>
          <w:p>
            <w:pPr>
              <w:pStyle w:val="158"/>
              <w:rPr>
                <w:rFonts w:hint="eastAsia" w:eastAsia="宋体"/>
                <w:lang w:val="en-US" w:eastAsia="zh-CN"/>
              </w:rPr>
            </w:pPr>
            <w:r>
              <w:rPr>
                <w:rFonts w:hint="eastAsia"/>
                <w:lang w:val="en-US" w:eastAsia="zh-CN"/>
              </w:rPr>
              <w:t>3000</w:t>
            </w:r>
          </w:p>
        </w:tc>
        <w:tc>
          <w:tcPr>
            <w:tcW w:w="923" w:type="dxa"/>
            <w:vAlign w:val="center"/>
          </w:tcPr>
          <w:p>
            <w:pPr>
              <w:pStyle w:val="158"/>
              <w:rPr>
                <w:rFonts w:hint="eastAsia" w:eastAsia="宋体"/>
                <w:lang w:val="en-US" w:eastAsia="zh-CN"/>
              </w:rPr>
            </w:pPr>
            <w:r>
              <w:rPr>
                <w:rFonts w:hint="eastAsia"/>
                <w:lang w:val="en-US" w:eastAsia="zh-CN"/>
              </w:rPr>
              <w:t>14.40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17" w:hRule="atLeast"/>
        </w:trPr>
        <w:tc>
          <w:tcPr>
            <w:tcW w:w="1985" w:type="dxa"/>
            <w:vAlign w:val="center"/>
          </w:tcPr>
          <w:p>
            <w:pPr>
              <w:pStyle w:val="158"/>
            </w:pPr>
            <w:r>
              <w:t>直接影响区</w:t>
            </w:r>
          </w:p>
        </w:tc>
        <w:tc>
          <w:tcPr>
            <w:tcW w:w="864" w:type="dxa"/>
            <w:vAlign w:val="center"/>
          </w:tcPr>
          <w:p>
            <w:pPr>
              <w:pStyle w:val="158"/>
            </w:pPr>
            <w:r>
              <w:rPr>
                <w:rFonts w:hint="eastAsia"/>
                <w:lang w:val="en-US" w:eastAsia="zh-CN"/>
              </w:rPr>
              <w:t>耕地</w:t>
            </w:r>
          </w:p>
        </w:tc>
        <w:tc>
          <w:tcPr>
            <w:tcW w:w="943" w:type="dxa"/>
            <w:vAlign w:val="center"/>
          </w:tcPr>
          <w:p>
            <w:pPr>
              <w:pStyle w:val="158"/>
              <w:rPr>
                <w:rFonts w:hint="eastAsia" w:eastAsia="宋体"/>
                <w:lang w:val="en-US" w:eastAsia="zh-CN"/>
              </w:rPr>
            </w:pPr>
            <w:r>
              <w:rPr>
                <w:rFonts w:hint="eastAsia"/>
                <w:lang w:val="en-US" w:eastAsia="zh-CN"/>
              </w:rPr>
              <w:t>0.21</w:t>
            </w:r>
          </w:p>
        </w:tc>
        <w:tc>
          <w:tcPr>
            <w:tcW w:w="995" w:type="dxa"/>
            <w:vAlign w:val="center"/>
          </w:tcPr>
          <w:p>
            <w:pPr>
              <w:pStyle w:val="158"/>
              <w:rPr>
                <w:rFonts w:hint="eastAsia" w:eastAsia="宋体"/>
                <w:lang w:val="en-US" w:eastAsia="zh-CN"/>
              </w:rPr>
            </w:pPr>
            <w:r>
              <w:rPr>
                <w:rFonts w:hint="eastAsia"/>
                <w:lang w:val="en-US" w:eastAsia="zh-CN"/>
              </w:rPr>
              <w:t>15</w:t>
            </w:r>
            <w:r>
              <w:rPr>
                <w:rFonts w:hint="eastAsia"/>
              </w:rPr>
              <w:t>～</w:t>
            </w:r>
            <w:r>
              <w:rPr>
                <w:rFonts w:hint="eastAsia"/>
                <w:lang w:val="en-US" w:eastAsia="zh-CN"/>
              </w:rPr>
              <w:t>25</w:t>
            </w:r>
          </w:p>
        </w:tc>
        <w:tc>
          <w:tcPr>
            <w:tcW w:w="1139" w:type="dxa"/>
            <w:vAlign w:val="center"/>
          </w:tcPr>
          <w:p>
            <w:pPr>
              <w:pStyle w:val="158"/>
            </w:pPr>
            <w:r>
              <w:rPr>
                <w:rFonts w:hint="eastAsia"/>
                <w:lang w:val="en-US" w:eastAsia="zh-CN"/>
              </w:rPr>
              <w:t>35</w:t>
            </w:r>
            <w:r>
              <w:rPr>
                <w:rFonts w:hint="eastAsia"/>
              </w:rPr>
              <w:t>～</w:t>
            </w:r>
            <w:r>
              <w:rPr>
                <w:rFonts w:hint="eastAsia"/>
                <w:lang w:val="en-US" w:eastAsia="zh-CN"/>
              </w:rPr>
              <w:t>40</w:t>
            </w:r>
          </w:p>
        </w:tc>
        <w:tc>
          <w:tcPr>
            <w:tcW w:w="704" w:type="dxa"/>
            <w:vAlign w:val="center"/>
          </w:tcPr>
          <w:p>
            <w:pPr>
              <w:pStyle w:val="158"/>
            </w:pPr>
            <w:r>
              <w:rPr>
                <w:rFonts w:hint="eastAsia"/>
              </w:rPr>
              <w:t>中度</w:t>
            </w:r>
          </w:p>
        </w:tc>
        <w:tc>
          <w:tcPr>
            <w:tcW w:w="1428" w:type="dxa"/>
            <w:vAlign w:val="center"/>
          </w:tcPr>
          <w:p>
            <w:pPr>
              <w:pStyle w:val="158"/>
              <w:rPr>
                <w:rFonts w:hint="eastAsia" w:eastAsia="宋体"/>
                <w:lang w:val="en-US" w:eastAsia="zh-CN"/>
              </w:rPr>
            </w:pPr>
            <w:r>
              <w:rPr>
                <w:rFonts w:hint="eastAsia"/>
                <w:lang w:val="en-US" w:eastAsia="zh-CN"/>
              </w:rPr>
              <w:t>3500</w:t>
            </w:r>
          </w:p>
        </w:tc>
        <w:tc>
          <w:tcPr>
            <w:tcW w:w="923" w:type="dxa"/>
            <w:vAlign w:val="center"/>
          </w:tcPr>
          <w:p>
            <w:pPr>
              <w:pStyle w:val="158"/>
              <w:rPr>
                <w:rFonts w:hint="eastAsia" w:eastAsia="宋体"/>
                <w:lang w:val="en-US" w:eastAsia="zh-CN"/>
              </w:rPr>
            </w:pPr>
            <w:r>
              <w:rPr>
                <w:rFonts w:hint="eastAsia"/>
                <w:lang w:val="en-US" w:eastAsia="zh-CN"/>
              </w:rPr>
              <w:t>7.35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2849" w:type="dxa"/>
            <w:gridSpan w:val="2"/>
            <w:vAlign w:val="center"/>
          </w:tcPr>
          <w:p>
            <w:pPr>
              <w:pStyle w:val="158"/>
            </w:pPr>
            <w:r>
              <w:rPr>
                <w:rFonts w:hint="eastAsia"/>
              </w:rPr>
              <w:t>合计</w:t>
            </w:r>
          </w:p>
        </w:tc>
        <w:tc>
          <w:tcPr>
            <w:tcW w:w="943" w:type="dxa"/>
            <w:vAlign w:val="center"/>
          </w:tcPr>
          <w:p>
            <w:pPr>
              <w:pStyle w:val="158"/>
              <w:rPr>
                <w:rFonts w:hint="eastAsia" w:eastAsia="宋体"/>
                <w:lang w:val="en-US" w:eastAsia="zh-CN"/>
              </w:rPr>
            </w:pPr>
            <w:r>
              <w:rPr>
                <w:rFonts w:hint="eastAsia"/>
                <w:lang w:val="en-US" w:eastAsia="zh-CN"/>
              </w:rPr>
              <w:t>1.55</w:t>
            </w:r>
          </w:p>
        </w:tc>
        <w:tc>
          <w:tcPr>
            <w:tcW w:w="995" w:type="dxa"/>
            <w:vAlign w:val="center"/>
          </w:tcPr>
          <w:p>
            <w:pPr>
              <w:pStyle w:val="158"/>
            </w:pPr>
          </w:p>
        </w:tc>
        <w:tc>
          <w:tcPr>
            <w:tcW w:w="1139" w:type="dxa"/>
            <w:vAlign w:val="center"/>
          </w:tcPr>
          <w:p>
            <w:pPr>
              <w:pStyle w:val="158"/>
            </w:pPr>
          </w:p>
        </w:tc>
        <w:tc>
          <w:tcPr>
            <w:tcW w:w="704" w:type="dxa"/>
            <w:vAlign w:val="center"/>
          </w:tcPr>
          <w:p>
            <w:pPr>
              <w:pStyle w:val="158"/>
            </w:pPr>
          </w:p>
        </w:tc>
        <w:tc>
          <w:tcPr>
            <w:tcW w:w="1428" w:type="dxa"/>
            <w:vAlign w:val="center"/>
          </w:tcPr>
          <w:p>
            <w:pPr>
              <w:pStyle w:val="158"/>
              <w:rPr>
                <w:rFonts w:hint="eastAsia" w:eastAsia="宋体"/>
                <w:lang w:val="en-US" w:eastAsia="zh-CN"/>
              </w:rPr>
            </w:pPr>
            <w:r>
              <w:rPr>
                <w:rFonts w:hint="eastAsia"/>
                <w:lang w:val="en-US" w:eastAsia="zh-CN"/>
              </w:rPr>
              <w:t>2975</w:t>
            </w:r>
          </w:p>
        </w:tc>
        <w:tc>
          <w:tcPr>
            <w:tcW w:w="923" w:type="dxa"/>
            <w:vAlign w:val="center"/>
          </w:tcPr>
          <w:p>
            <w:pPr>
              <w:pStyle w:val="158"/>
              <w:rPr>
                <w:rFonts w:hint="eastAsia" w:eastAsia="宋体"/>
                <w:lang w:val="en-US" w:eastAsia="zh-CN"/>
              </w:rPr>
            </w:pPr>
            <w:r>
              <w:rPr>
                <w:rFonts w:hint="eastAsia"/>
                <w:lang w:val="en-US" w:eastAsia="zh-CN"/>
              </w:rPr>
              <w:t>11.23</w:t>
            </w:r>
          </w:p>
        </w:tc>
      </w:tr>
    </w:tbl>
    <w:p>
      <w:pPr>
        <w:pStyle w:val="440"/>
        <w:ind w:firstLine="480"/>
      </w:pPr>
    </w:p>
    <w:p>
      <w:pPr>
        <w:pStyle w:val="440"/>
        <w:ind w:firstLine="480"/>
        <w:sectPr>
          <w:pgSz w:w="11906" w:h="16838"/>
          <w:pgMar w:top="1440" w:right="1440" w:bottom="1440" w:left="1701" w:header="851" w:footer="992" w:gutter="0"/>
          <w:cols w:space="425" w:num="1"/>
          <w:docGrid w:linePitch="312" w:charSpace="0"/>
        </w:sectPr>
      </w:pPr>
    </w:p>
    <w:p>
      <w:pPr>
        <w:pStyle w:val="2"/>
        <w:rPr>
          <w:rFonts w:hint="default" w:ascii="Times New Roman" w:hAnsi="Times New Roman" w:cs="Times New Roman"/>
        </w:rPr>
      </w:pPr>
      <w:r>
        <w:rPr>
          <w:rFonts w:hint="default" w:ascii="Times New Roman" w:hAnsi="Times New Roman" w:cs="Times New Roman"/>
        </w:rPr>
        <w:t>2水土保持方案和设计情况</w:t>
      </w:r>
      <w:bookmarkEnd w:id="30"/>
    </w:p>
    <w:p>
      <w:pPr>
        <w:pStyle w:val="3"/>
        <w:rPr>
          <w:rFonts w:hint="default" w:ascii="Times New Roman" w:hAnsi="Times New Roman" w:cs="Times New Roman"/>
        </w:rPr>
      </w:pPr>
      <w:bookmarkStart w:id="31" w:name="_Toc502049572"/>
      <w:r>
        <w:rPr>
          <w:rFonts w:hint="default" w:ascii="Times New Roman" w:hAnsi="Times New Roman" w:cs="Times New Roman"/>
        </w:rPr>
        <w:t>2.1主体工程设计</w:t>
      </w:r>
      <w:bookmarkEnd w:id="31"/>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kern w:val="2"/>
          <w:sz w:val="24"/>
          <w:szCs w:val="28"/>
          <w:lang w:val="en-US" w:eastAsia="zh-CN" w:bidi="ar-SA"/>
        </w:rPr>
      </w:pPr>
      <w:r>
        <w:rPr>
          <w:rFonts w:hint="default" w:ascii="Times New Roman" w:hAnsi="Times New Roman" w:cs="Times New Roman" w:eastAsiaTheme="minorEastAsia"/>
          <w:kern w:val="2"/>
          <w:sz w:val="24"/>
          <w:szCs w:val="28"/>
          <w:lang w:val="en-US" w:eastAsia="zh-CN" w:bidi="ar-SA"/>
        </w:rPr>
        <w:t>2015年5月，由中国华西工程设计建设有限公司编制了《泸州市江阳区蓝田街道重湾（干坝子）安置房建设工程</w:t>
      </w:r>
      <w:r>
        <w:rPr>
          <w:rFonts w:hint="eastAsia" w:cs="Times New Roman" w:eastAsiaTheme="minorEastAsia"/>
          <w:kern w:val="2"/>
          <w:sz w:val="24"/>
          <w:szCs w:val="28"/>
          <w:lang w:val="en-US" w:eastAsia="zh-CN" w:bidi="ar-SA"/>
        </w:rPr>
        <w:t>施工</w:t>
      </w:r>
      <w:r>
        <w:rPr>
          <w:rFonts w:hint="default" w:ascii="Times New Roman" w:hAnsi="Times New Roman" w:cs="Times New Roman" w:eastAsiaTheme="minorEastAsia"/>
          <w:kern w:val="2"/>
          <w:sz w:val="24"/>
          <w:szCs w:val="28"/>
          <w:lang w:val="en-US" w:eastAsia="zh-CN" w:bidi="ar-SA"/>
        </w:rPr>
        <w:t>设计</w:t>
      </w:r>
      <w:r>
        <w:rPr>
          <w:rFonts w:hint="eastAsia" w:cs="Times New Roman" w:eastAsiaTheme="minorEastAsia"/>
          <w:kern w:val="2"/>
          <w:sz w:val="24"/>
          <w:szCs w:val="28"/>
          <w:lang w:val="en-US" w:eastAsia="zh-CN" w:bidi="ar-SA"/>
        </w:rPr>
        <w:t>方案</w:t>
      </w:r>
      <w:r>
        <w:rPr>
          <w:rFonts w:hint="default" w:ascii="Times New Roman" w:hAnsi="Times New Roman" w:cs="Times New Roman" w:eastAsiaTheme="minorEastAsia"/>
          <w:kern w:val="2"/>
          <w:sz w:val="24"/>
          <w:szCs w:val="28"/>
          <w:lang w:val="en-US" w:eastAsia="zh-CN" w:bidi="ar-SA"/>
        </w:rPr>
        <w:t>》。</w:t>
      </w:r>
    </w:p>
    <w:p>
      <w:pPr>
        <w:pStyle w:val="3"/>
        <w:rPr>
          <w:rFonts w:hint="default" w:ascii="Times New Roman" w:hAnsi="Times New Roman" w:cs="Times New Roman"/>
        </w:rPr>
      </w:pPr>
      <w:bookmarkStart w:id="32" w:name="_Toc502049573"/>
      <w:r>
        <w:rPr>
          <w:rFonts w:hint="default" w:ascii="Times New Roman" w:hAnsi="Times New Roman" w:cs="Times New Roman"/>
        </w:rPr>
        <w:t>2.2水土保持方案</w:t>
      </w:r>
      <w:bookmarkEnd w:id="32"/>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color w:val="auto"/>
          <w:kern w:val="2"/>
          <w:sz w:val="24"/>
          <w:szCs w:val="28"/>
          <w:lang w:val="en-US" w:eastAsia="zh-CN" w:bidi="ar-SA"/>
        </w:rPr>
      </w:pPr>
      <w:r>
        <w:rPr>
          <w:rFonts w:hint="default" w:ascii="Times New Roman" w:hAnsi="Times New Roman" w:cs="Times New Roman" w:eastAsiaTheme="minorEastAsia"/>
          <w:color w:val="auto"/>
          <w:kern w:val="2"/>
          <w:sz w:val="24"/>
          <w:szCs w:val="28"/>
          <w:lang w:val="en-US" w:eastAsia="zh-CN" w:bidi="ar-SA"/>
        </w:rPr>
        <w:t>2015年4月，泸州鑫盛轻工发展有限公司委托四川金原工程勘察设计有限公司开展本项目水土保持方案报告书编制工作。经过深入现场调查，收集工程区自然、社会以及水域流失等基础资料，结合工程布局，对工程永久占地及影响范围内的地形、地貌、植被、土地利用等自然状况、工程区水土流失和治理现状等进行调查。通过分析工程建设中对地表的占压、扰动情况，按照分区防治的原则，对工程建设可能造成的水土流失进行了分区防治设计，于2015年4月编制完成《泸州市江阳区蓝田街道重湾（干坝子）安置房建设工程水土保持方案报告书（送审稿）》。</w:t>
      </w:r>
    </w:p>
    <w:p>
      <w:pPr>
        <w:pStyle w:val="440"/>
        <w:ind w:firstLine="48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20</w:t>
      </w:r>
      <w:r>
        <w:rPr>
          <w:rFonts w:hint="default" w:ascii="Times New Roman" w:hAnsi="Times New Roman" w:cs="Times New Roman" w:eastAsiaTheme="minorEastAsia"/>
          <w:color w:val="auto"/>
          <w:lang w:val="en-US" w:eastAsia="zh-CN"/>
        </w:rPr>
        <w:t>1</w:t>
      </w:r>
      <w:r>
        <w:rPr>
          <w:rFonts w:hint="default" w:ascii="Times New Roman" w:hAnsi="Times New Roman" w:cs="Times New Roman" w:eastAsiaTheme="minorEastAsia"/>
          <w:color w:val="auto"/>
        </w:rPr>
        <w:t>5年</w:t>
      </w:r>
      <w:r>
        <w:rPr>
          <w:rFonts w:hint="default" w:ascii="Times New Roman" w:hAnsi="Times New Roman" w:cs="Times New Roman" w:eastAsiaTheme="minorEastAsia"/>
          <w:color w:val="auto"/>
          <w:lang w:val="en-US" w:eastAsia="zh-CN"/>
        </w:rPr>
        <w:t>5</w:t>
      </w:r>
      <w:r>
        <w:rPr>
          <w:rFonts w:hint="default" w:ascii="Times New Roman" w:hAnsi="Times New Roman" w:cs="Times New Roman" w:eastAsiaTheme="minorEastAsia"/>
          <w:color w:val="auto"/>
        </w:rPr>
        <w:t>月，</w:t>
      </w:r>
      <w:r>
        <w:rPr>
          <w:rFonts w:hint="default" w:ascii="Times New Roman" w:hAnsi="Times New Roman" w:cs="Times New Roman" w:eastAsiaTheme="minorEastAsia"/>
          <w:color w:val="auto"/>
          <w:lang w:val="en-US" w:eastAsia="zh-CN"/>
        </w:rPr>
        <w:t>泸州市</w:t>
      </w:r>
      <w:r>
        <w:rPr>
          <w:rFonts w:hint="default" w:ascii="Times New Roman" w:hAnsi="Times New Roman" w:cs="Times New Roman" w:eastAsiaTheme="minorEastAsia"/>
          <w:color w:val="auto"/>
        </w:rPr>
        <w:t>水土保持委员会办公室文件主持召开《</w:t>
      </w:r>
      <w:r>
        <w:rPr>
          <w:rFonts w:hint="default" w:ascii="Times New Roman" w:hAnsi="Times New Roman" w:cs="Times New Roman" w:eastAsiaTheme="minorEastAsia"/>
          <w:color w:val="auto"/>
          <w:kern w:val="2"/>
          <w:sz w:val="24"/>
          <w:szCs w:val="28"/>
          <w:lang w:val="en-US" w:eastAsia="zh-CN" w:bidi="ar-SA"/>
        </w:rPr>
        <w:t>泸州市江阳区蓝田街道重湾（干坝子）安置房建设工程</w:t>
      </w:r>
      <w:r>
        <w:rPr>
          <w:rFonts w:hint="default" w:ascii="Times New Roman" w:hAnsi="Times New Roman" w:cs="Times New Roman" w:eastAsiaTheme="minorEastAsia"/>
          <w:color w:val="auto"/>
        </w:rPr>
        <w:t>水土保持方案报告书</w:t>
      </w:r>
      <w:r>
        <w:rPr>
          <w:rFonts w:hint="default" w:ascii="Times New Roman" w:hAnsi="Times New Roman" w:cs="Times New Roman" w:eastAsiaTheme="minorEastAsia"/>
          <w:color w:val="auto"/>
          <w:lang w:eastAsia="zh-CN"/>
        </w:rPr>
        <w:t>（</w:t>
      </w:r>
      <w:r>
        <w:rPr>
          <w:rFonts w:hint="default" w:ascii="Times New Roman" w:hAnsi="Times New Roman" w:cs="Times New Roman" w:eastAsiaTheme="minorEastAsia"/>
          <w:color w:val="auto"/>
        </w:rPr>
        <w:t>送审稿</w:t>
      </w:r>
      <w:r>
        <w:rPr>
          <w:rFonts w:hint="default" w:ascii="Times New Roman" w:hAnsi="Times New Roman" w:cs="Times New Roman" w:eastAsiaTheme="minorEastAsia"/>
          <w:color w:val="auto"/>
          <w:lang w:eastAsia="zh-CN"/>
        </w:rPr>
        <w:t>）</w:t>
      </w:r>
      <w:r>
        <w:rPr>
          <w:rFonts w:hint="default" w:ascii="Times New Roman" w:hAnsi="Times New Roman" w:cs="Times New Roman" w:eastAsiaTheme="minorEastAsia"/>
          <w:color w:val="auto"/>
        </w:rPr>
        <w:t>》技术审查会。根据专家评审意见，对方案报告书进行了认真的复核和修改，于20</w:t>
      </w:r>
      <w:r>
        <w:rPr>
          <w:rFonts w:hint="default" w:ascii="Times New Roman" w:hAnsi="Times New Roman" w:cs="Times New Roman" w:eastAsiaTheme="minorEastAsia"/>
          <w:color w:val="auto"/>
          <w:lang w:val="en-US" w:eastAsia="zh-CN"/>
        </w:rPr>
        <w:t>1</w:t>
      </w:r>
      <w:r>
        <w:rPr>
          <w:rFonts w:hint="default" w:ascii="Times New Roman" w:hAnsi="Times New Roman" w:cs="Times New Roman" w:eastAsiaTheme="minorEastAsia"/>
          <w:color w:val="auto"/>
        </w:rPr>
        <w:t>5年</w:t>
      </w:r>
      <w:r>
        <w:rPr>
          <w:rFonts w:hint="default" w:ascii="Times New Roman" w:hAnsi="Times New Roman" w:cs="Times New Roman" w:eastAsiaTheme="minorEastAsia"/>
          <w:color w:val="auto"/>
          <w:lang w:val="en-US" w:eastAsia="zh-CN"/>
        </w:rPr>
        <w:t>5</w:t>
      </w:r>
      <w:r>
        <w:rPr>
          <w:rFonts w:hint="default" w:ascii="Times New Roman" w:hAnsi="Times New Roman" w:cs="Times New Roman" w:eastAsiaTheme="minorEastAsia"/>
          <w:color w:val="auto"/>
        </w:rPr>
        <w:t>月底编制完成了《</w:t>
      </w:r>
      <w:r>
        <w:rPr>
          <w:rFonts w:hint="default" w:ascii="Times New Roman" w:hAnsi="Times New Roman" w:cs="Times New Roman" w:eastAsiaTheme="minorEastAsia"/>
          <w:color w:val="auto"/>
          <w:kern w:val="2"/>
          <w:sz w:val="24"/>
          <w:szCs w:val="28"/>
          <w:lang w:val="en-US" w:eastAsia="zh-CN" w:bidi="ar-SA"/>
        </w:rPr>
        <w:t>泸州市江阳区蓝田街道重湾（干坝子）安置房建设工程</w:t>
      </w:r>
      <w:r>
        <w:rPr>
          <w:rFonts w:hint="default" w:ascii="Times New Roman" w:hAnsi="Times New Roman" w:cs="Times New Roman" w:eastAsiaTheme="minorEastAsia"/>
          <w:color w:val="auto"/>
        </w:rPr>
        <w:t>水土保持方案报告书</w:t>
      </w:r>
      <w:r>
        <w:rPr>
          <w:rFonts w:hint="default" w:ascii="Times New Roman" w:hAnsi="Times New Roman" w:cs="Times New Roman" w:eastAsiaTheme="minorEastAsia"/>
          <w:color w:val="auto"/>
          <w:lang w:eastAsia="zh-CN"/>
        </w:rPr>
        <w:t>（</w:t>
      </w:r>
      <w:r>
        <w:rPr>
          <w:rFonts w:hint="default" w:ascii="Times New Roman" w:hAnsi="Times New Roman" w:cs="Times New Roman" w:eastAsiaTheme="minorEastAsia"/>
          <w:color w:val="auto"/>
        </w:rPr>
        <w:t>报批稿</w:t>
      </w:r>
      <w:r>
        <w:rPr>
          <w:rFonts w:hint="default" w:ascii="Times New Roman" w:hAnsi="Times New Roman" w:cs="Times New Roman" w:eastAsiaTheme="minorEastAsia"/>
          <w:color w:val="auto"/>
          <w:lang w:eastAsia="zh-CN"/>
        </w:rPr>
        <w:t>）</w:t>
      </w:r>
      <w:r>
        <w:rPr>
          <w:rFonts w:hint="default" w:ascii="Times New Roman" w:hAnsi="Times New Roman" w:cs="Times New Roman" w:eastAsiaTheme="minorEastAsia"/>
          <w:color w:val="auto"/>
        </w:rPr>
        <w:t>》。批复文件明确了本工程的水土流失防治责任范围，同意水土流失防治措施总体布局和投资概算；肯定了建设单位编报水土保持方案符合我国水土保持法律法规的规定，对于防治工程建设可能造成的水土流失，保护生态环境具有重要意义。</w:t>
      </w:r>
    </w:p>
    <w:p>
      <w:pPr>
        <w:pStyle w:val="440"/>
        <w:ind w:firstLine="480"/>
        <w:rPr>
          <w:rFonts w:hint="default" w:ascii="Times New Roman" w:hAnsi="Times New Roman" w:cs="Times New Roman"/>
        </w:rPr>
      </w:pPr>
      <w:r>
        <w:rPr>
          <w:rFonts w:hint="default" w:ascii="Times New Roman" w:hAnsi="Times New Roman" w:cs="Times New Roman"/>
        </w:rPr>
        <w:t>20</w:t>
      </w:r>
      <w:r>
        <w:rPr>
          <w:rFonts w:hint="default" w:ascii="Times New Roman" w:hAnsi="Times New Roman" w:cs="Times New Roman"/>
          <w:lang w:val="en-US" w:eastAsia="zh-CN"/>
        </w:rPr>
        <w:t>1</w:t>
      </w:r>
      <w:r>
        <w:rPr>
          <w:rFonts w:hint="default" w:ascii="Times New Roman" w:hAnsi="Times New Roman" w:cs="Times New Roman"/>
        </w:rPr>
        <w:t>5年</w:t>
      </w:r>
      <w:r>
        <w:rPr>
          <w:rFonts w:hint="default" w:ascii="Times New Roman" w:hAnsi="Times New Roman" w:cs="Times New Roman"/>
          <w:lang w:val="en-US" w:eastAsia="zh-CN"/>
        </w:rPr>
        <w:t>5</w:t>
      </w:r>
      <w:r>
        <w:rPr>
          <w:rFonts w:hint="default" w:ascii="Times New Roman" w:hAnsi="Times New Roman" w:cs="Times New Roman"/>
        </w:rPr>
        <w:t>月2</w:t>
      </w:r>
      <w:r>
        <w:rPr>
          <w:rFonts w:hint="default" w:ascii="Times New Roman" w:hAnsi="Times New Roman" w:cs="Times New Roman"/>
          <w:lang w:val="en-US" w:eastAsia="zh-CN"/>
        </w:rPr>
        <w:t>9</w:t>
      </w:r>
      <w:r>
        <w:rPr>
          <w:rFonts w:hint="default" w:ascii="Times New Roman" w:hAnsi="Times New Roman" w:cs="Times New Roman"/>
        </w:rPr>
        <w:t>日，</w:t>
      </w:r>
      <w:r>
        <w:rPr>
          <w:rFonts w:hint="default" w:ascii="Times New Roman" w:hAnsi="Times New Roman" w:cs="Times New Roman"/>
          <w:lang w:val="en-US" w:eastAsia="zh-CN"/>
        </w:rPr>
        <w:t>江阳区水务局</w:t>
      </w:r>
      <w:r>
        <w:rPr>
          <w:rFonts w:hint="default" w:ascii="Times New Roman" w:hAnsi="Times New Roman" w:cs="Times New Roman"/>
        </w:rPr>
        <w:t>办公室下发了《关于</w:t>
      </w:r>
      <w:r>
        <w:rPr>
          <w:rFonts w:hint="default" w:ascii="Times New Roman" w:hAnsi="Times New Roman" w:cs="Times New Roman" w:eastAsiaTheme="minorEastAsia"/>
          <w:color w:val="auto"/>
          <w:kern w:val="2"/>
          <w:sz w:val="24"/>
          <w:szCs w:val="28"/>
          <w:lang w:val="en-US" w:eastAsia="zh-CN" w:bidi="ar-SA"/>
        </w:rPr>
        <w:t>泸州市江阳区蓝田街道重湾（干坝子）安置房建设工程</w:t>
      </w:r>
      <w:r>
        <w:rPr>
          <w:rFonts w:hint="default" w:ascii="Times New Roman" w:hAnsi="Times New Roman" w:cs="Times New Roman"/>
        </w:rPr>
        <w:t>水土保持方案报告书的批复》。</w:t>
      </w:r>
    </w:p>
    <w:p>
      <w:pPr>
        <w:pStyle w:val="3"/>
        <w:rPr>
          <w:rFonts w:hint="default" w:ascii="Times New Roman" w:hAnsi="Times New Roman" w:cs="Times New Roman"/>
        </w:rPr>
      </w:pPr>
      <w:bookmarkStart w:id="33" w:name="_Toc502049574"/>
      <w:r>
        <w:rPr>
          <w:rFonts w:hint="default" w:ascii="Times New Roman" w:hAnsi="Times New Roman" w:cs="Times New Roman"/>
        </w:rPr>
        <w:t>2.3水土保持方案变更</w:t>
      </w:r>
      <w:bookmarkEnd w:id="33"/>
    </w:p>
    <w:p>
      <w:pPr>
        <w:pStyle w:val="440"/>
        <w:ind w:firstLine="480"/>
        <w:rPr>
          <w:rFonts w:hint="default" w:ascii="Times New Roman" w:hAnsi="Times New Roman" w:cs="Times New Roman"/>
        </w:rPr>
      </w:pPr>
      <w:r>
        <w:rPr>
          <w:rFonts w:hint="default" w:ascii="Times New Roman" w:hAnsi="Times New Roman" w:cs="Times New Roman"/>
        </w:rPr>
        <w:t>泸州鑫盛轻工发展有限公司</w:t>
      </w:r>
      <w:r>
        <w:rPr>
          <w:rFonts w:hint="default" w:ascii="Times New Roman" w:hAnsi="Times New Roman" w:cs="Times New Roman" w:eastAsiaTheme="minorEastAsia"/>
          <w:color w:val="auto"/>
          <w:kern w:val="2"/>
          <w:sz w:val="24"/>
          <w:szCs w:val="28"/>
          <w:lang w:val="en-US" w:eastAsia="zh-CN" w:bidi="ar-SA"/>
        </w:rPr>
        <w:t>泸州市江阳区蓝田街道重湾（干坝子）安置房建设工程</w:t>
      </w:r>
      <w:r>
        <w:rPr>
          <w:rFonts w:hint="default" w:ascii="Times New Roman" w:hAnsi="Times New Roman" w:cs="Times New Roman"/>
        </w:rPr>
        <w:t>水土保持方案未发生重大变更。</w:t>
      </w:r>
    </w:p>
    <w:p>
      <w:pPr>
        <w:pStyle w:val="3"/>
        <w:rPr>
          <w:rFonts w:hint="default" w:ascii="Times New Roman" w:hAnsi="Times New Roman" w:cs="Times New Roman"/>
        </w:rPr>
      </w:pPr>
      <w:bookmarkStart w:id="34" w:name="_Toc502049575"/>
      <w:r>
        <w:rPr>
          <w:rFonts w:hint="default" w:ascii="Times New Roman" w:hAnsi="Times New Roman" w:cs="Times New Roman"/>
        </w:rPr>
        <w:t>2.4水土保持后续设计</w:t>
      </w:r>
      <w:bookmarkEnd w:id="34"/>
    </w:p>
    <w:p>
      <w:pPr>
        <w:pStyle w:val="440"/>
        <w:ind w:firstLine="480"/>
        <w:rPr>
          <w:rFonts w:hint="default" w:ascii="Times New Roman" w:hAnsi="Times New Roman" w:cs="Times New Roman"/>
        </w:rPr>
      </w:pPr>
      <w:r>
        <w:rPr>
          <w:rFonts w:hint="default" w:ascii="Times New Roman" w:hAnsi="Times New Roman" w:cs="Times New Roman"/>
        </w:rPr>
        <w:t>根据有关规定和要求，并按照水土保持工作“三同时”制度，本工程水土保持方案报告书与主体工程设计深度相一致。本工程水土保持方案总体上按实施阶段深度要求设计，各水土保持分部工程、单元工程设计完善，无后续设计。</w:t>
      </w:r>
    </w:p>
    <w:p>
      <w:pPr>
        <w:pStyle w:val="440"/>
        <w:ind w:firstLine="480"/>
        <w:rPr>
          <w:rFonts w:hint="default" w:ascii="Times New Roman" w:hAnsi="Times New Roman" w:cs="Times New Roman"/>
        </w:rPr>
        <w:sectPr>
          <w:pgSz w:w="11906" w:h="16838"/>
          <w:pgMar w:top="1440" w:right="1440" w:bottom="1440" w:left="1701" w:header="851" w:footer="992" w:gutter="0"/>
          <w:cols w:space="425" w:num="1"/>
          <w:docGrid w:linePitch="312" w:charSpace="0"/>
        </w:sectPr>
      </w:pPr>
    </w:p>
    <w:p>
      <w:pPr>
        <w:pStyle w:val="2"/>
        <w:rPr>
          <w:rFonts w:hint="default" w:ascii="Times New Roman" w:hAnsi="Times New Roman" w:cs="Times New Roman"/>
        </w:rPr>
      </w:pPr>
      <w:bookmarkStart w:id="35" w:name="_Toc502049576"/>
      <w:r>
        <w:rPr>
          <w:rFonts w:hint="default" w:ascii="Times New Roman" w:hAnsi="Times New Roman" w:cs="Times New Roman"/>
        </w:rPr>
        <w:t>3水土保持方案实施情况</w:t>
      </w:r>
      <w:bookmarkEnd w:id="35"/>
    </w:p>
    <w:p>
      <w:pPr>
        <w:pStyle w:val="3"/>
        <w:rPr>
          <w:rFonts w:hint="default" w:ascii="Times New Roman" w:hAnsi="Times New Roman" w:cs="Times New Roman"/>
        </w:rPr>
      </w:pPr>
      <w:bookmarkStart w:id="36" w:name="_Toc502049577"/>
      <w:r>
        <w:rPr>
          <w:rFonts w:hint="default" w:ascii="Times New Roman" w:hAnsi="Times New Roman" w:cs="Times New Roman"/>
        </w:rPr>
        <w:t>3.1水土流失防治责任范围</w:t>
      </w:r>
      <w:bookmarkEnd w:id="36"/>
    </w:p>
    <w:p>
      <w:pPr>
        <w:pStyle w:val="440"/>
        <w:ind w:firstLine="480"/>
        <w:rPr>
          <w:rFonts w:hint="default" w:ascii="Times New Roman" w:hAnsi="Times New Roman" w:cs="Times New Roman"/>
        </w:rPr>
      </w:pPr>
      <w:r>
        <w:rPr>
          <w:rFonts w:hint="default" w:ascii="Times New Roman" w:hAnsi="Times New Roman" w:cs="Times New Roman"/>
        </w:rPr>
        <w:t>根据“谁开发、谁保护，谁造成水土流失、谁负责治理”的水土流失防治原则，按照《开发建设项目水土保持方案技术规范》</w:t>
      </w:r>
      <w:r>
        <w:rPr>
          <w:rFonts w:hint="default" w:ascii="Times New Roman" w:hAnsi="Times New Roman" w:cs="Times New Roman"/>
          <w:szCs w:val="23"/>
        </w:rPr>
        <w:t>（GB 50433-2008）</w:t>
      </w:r>
      <w:r>
        <w:rPr>
          <w:rFonts w:hint="default" w:ascii="Times New Roman" w:hAnsi="Times New Roman" w:cs="Times New Roman"/>
        </w:rPr>
        <w:t>关于开发建设项目水土流失防治责任范围界定的有关规定；根据《</w:t>
      </w:r>
      <w:r>
        <w:rPr>
          <w:rFonts w:hint="default" w:ascii="Times New Roman" w:hAnsi="Times New Roman" w:cs="Times New Roman" w:eastAsiaTheme="minorEastAsia"/>
          <w:color w:val="auto"/>
          <w:kern w:val="2"/>
          <w:sz w:val="24"/>
          <w:szCs w:val="28"/>
          <w:lang w:val="en-US" w:eastAsia="zh-CN" w:bidi="ar-SA"/>
        </w:rPr>
        <w:t>泸州市江阳区蓝田街道重湾（干坝子）安置房建设工程</w:t>
      </w:r>
      <w:r>
        <w:rPr>
          <w:rFonts w:hint="default" w:ascii="Times New Roman" w:hAnsi="Times New Roman" w:cs="Times New Roman"/>
        </w:rPr>
        <w:t>水土保持方案报告书》（报批稿），通过统计确定本次工程监理范围水土保持防治责任范围面积为</w:t>
      </w:r>
      <w:r>
        <w:rPr>
          <w:rFonts w:hint="default" w:ascii="Times New Roman" w:hAnsi="Times New Roman" w:cs="Times New Roman"/>
          <w:lang w:val="en-US" w:eastAsia="zh-CN"/>
        </w:rPr>
        <w:t>1.34</w:t>
      </w:r>
      <w:r>
        <w:rPr>
          <w:rFonts w:hint="default" w:ascii="Times New Roman" w:hAnsi="Times New Roman" w:cs="Times New Roman"/>
        </w:rPr>
        <w:t>hm</w:t>
      </w:r>
      <w:r>
        <w:rPr>
          <w:rFonts w:hint="default" w:ascii="Times New Roman" w:hAnsi="Times New Roman" w:cs="Times New Roman"/>
          <w:vertAlign w:val="superscript"/>
        </w:rPr>
        <w:t>2</w:t>
      </w:r>
      <w:r>
        <w:rPr>
          <w:rFonts w:hint="default" w:ascii="Times New Roman" w:hAnsi="Times New Roman" w:cs="Times New Roman"/>
        </w:rPr>
        <w:t>，工程建设区</w:t>
      </w:r>
      <w:r>
        <w:rPr>
          <w:rFonts w:hint="default" w:ascii="Times New Roman" w:hAnsi="Times New Roman" w:cs="Times New Roman"/>
          <w:lang w:val="zh-CN"/>
        </w:rPr>
        <w:t>面积</w:t>
      </w:r>
      <w:r>
        <w:rPr>
          <w:rFonts w:hint="default" w:ascii="Times New Roman" w:hAnsi="Times New Roman" w:cs="Times New Roman"/>
          <w:color w:val="auto"/>
          <w:lang w:val="zh-CN"/>
        </w:rPr>
        <w:t>为</w:t>
      </w:r>
      <w:r>
        <w:rPr>
          <w:rFonts w:hint="default" w:ascii="Times New Roman" w:hAnsi="Times New Roman" w:cs="Times New Roman"/>
          <w:color w:val="auto"/>
          <w:lang w:val="en-US" w:eastAsia="zh-CN"/>
        </w:rPr>
        <w:t>1.34</w:t>
      </w:r>
      <w:r>
        <w:rPr>
          <w:rFonts w:hint="default" w:ascii="Times New Roman" w:hAnsi="Times New Roman" w:cs="Times New Roman"/>
          <w:color w:val="auto"/>
          <w:lang w:val="zh-CN"/>
        </w:rPr>
        <w:t>hm</w:t>
      </w:r>
      <w:r>
        <w:rPr>
          <w:rFonts w:hint="default" w:ascii="Times New Roman" w:hAnsi="Times New Roman" w:cs="Times New Roman"/>
          <w:color w:val="auto"/>
          <w:vertAlign w:val="superscript"/>
          <w:lang w:val="zh-CN"/>
        </w:rPr>
        <w:t>2</w:t>
      </w:r>
      <w:r>
        <w:rPr>
          <w:rFonts w:hint="default" w:ascii="Times New Roman" w:hAnsi="Times New Roman" w:cs="Times New Roman"/>
          <w:color w:val="auto"/>
          <w:lang w:val="zh-CN"/>
        </w:rPr>
        <w:t>，包括</w:t>
      </w:r>
      <w:r>
        <w:rPr>
          <w:rFonts w:hint="default" w:ascii="Times New Roman" w:hAnsi="Times New Roman" w:cs="Times New Roman"/>
          <w:color w:val="auto"/>
        </w:rPr>
        <w:t>主体建筑区</w:t>
      </w:r>
      <w:r>
        <w:rPr>
          <w:rFonts w:hint="default" w:ascii="Times New Roman" w:hAnsi="Times New Roman" w:cs="Times New Roman"/>
          <w:color w:val="auto"/>
          <w:lang w:val="zh-CN"/>
        </w:rPr>
        <w:t>、</w:t>
      </w:r>
      <w:r>
        <w:rPr>
          <w:rFonts w:hint="default" w:ascii="Times New Roman" w:hAnsi="Times New Roman" w:cs="Times New Roman"/>
          <w:color w:val="auto"/>
        </w:rPr>
        <w:t>道路</w:t>
      </w:r>
      <w:r>
        <w:rPr>
          <w:rFonts w:hint="default" w:ascii="Times New Roman" w:hAnsi="Times New Roman" w:cs="Times New Roman"/>
          <w:color w:val="auto"/>
          <w:lang w:val="en-US" w:eastAsia="zh-CN"/>
        </w:rPr>
        <w:t>广</w:t>
      </w:r>
      <w:r>
        <w:rPr>
          <w:rFonts w:hint="default" w:ascii="Times New Roman" w:hAnsi="Times New Roman" w:cs="Times New Roman"/>
          <w:color w:val="auto"/>
        </w:rPr>
        <w:t>场区</w:t>
      </w:r>
      <w:r>
        <w:rPr>
          <w:rFonts w:hint="default" w:ascii="Times New Roman" w:hAnsi="Times New Roman" w:cs="Times New Roman"/>
          <w:color w:val="auto"/>
          <w:lang w:val="zh-CN"/>
        </w:rPr>
        <w:t>、</w:t>
      </w:r>
      <w:r>
        <w:rPr>
          <w:rFonts w:hint="default" w:ascii="Times New Roman" w:hAnsi="Times New Roman" w:cs="Times New Roman"/>
          <w:color w:val="auto"/>
        </w:rPr>
        <w:t>景观绿化区</w:t>
      </w:r>
      <w:r>
        <w:rPr>
          <w:rFonts w:hint="default" w:ascii="Times New Roman" w:hAnsi="Times New Roman" w:cs="Times New Roman"/>
          <w:color w:val="auto"/>
          <w:lang w:val="zh-CN"/>
        </w:rPr>
        <w:t>永久征占用地范围，</w:t>
      </w:r>
      <w:r>
        <w:rPr>
          <w:rFonts w:hint="default" w:ascii="Times New Roman" w:hAnsi="Times New Roman" w:cs="Times New Roman"/>
          <w:color w:val="auto"/>
        </w:rPr>
        <w:t>直接影响区</w:t>
      </w:r>
      <w:r>
        <w:rPr>
          <w:rFonts w:hint="default" w:ascii="Times New Roman" w:hAnsi="Times New Roman" w:cs="Times New Roman"/>
          <w:color w:val="auto"/>
          <w:lang w:val="en-US" w:eastAsia="zh-CN"/>
        </w:rPr>
        <w:t>0.17</w:t>
      </w:r>
      <w:r>
        <w:rPr>
          <w:rFonts w:hint="default" w:ascii="Times New Roman" w:hAnsi="Times New Roman" w:cs="Times New Roman"/>
        </w:rPr>
        <w:t>hm</w:t>
      </w:r>
      <w:r>
        <w:rPr>
          <w:rFonts w:hint="default" w:ascii="Times New Roman" w:hAnsi="Times New Roman" w:cs="Times New Roman"/>
          <w:vertAlign w:val="superscript"/>
        </w:rPr>
        <w:t>2</w:t>
      </w:r>
      <w:r>
        <w:rPr>
          <w:rFonts w:hint="default" w:ascii="Times New Roman" w:hAnsi="Times New Roman" w:cs="Times New Roman"/>
        </w:rPr>
        <w:t>。详见表3-1。</w:t>
      </w:r>
    </w:p>
    <w:p>
      <w:pPr>
        <w:pStyle w:val="32"/>
        <w:rPr>
          <w:rFonts w:hint="default" w:ascii="Times New Roman" w:hAnsi="Times New Roman" w:cs="Times New Roman"/>
        </w:rPr>
      </w:pPr>
      <w:r>
        <w:rPr>
          <w:rFonts w:hint="default" w:ascii="Times New Roman" w:hAnsi="Times New Roman" w:cs="Times New Roman"/>
        </w:rPr>
        <w:t>表3-1  工程防治责任范围面积表</w:t>
      </w:r>
    </w:p>
    <w:tbl>
      <w:tblPr>
        <w:tblStyle w:val="46"/>
        <w:tblW w:w="8522"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268"/>
        <w:gridCol w:w="2027"/>
        <w:gridCol w:w="1705"/>
        <w:gridCol w:w="170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77" w:hRule="atLeast"/>
        </w:trPr>
        <w:tc>
          <w:tcPr>
            <w:tcW w:w="817" w:type="dxa"/>
            <w:vMerge w:val="restart"/>
            <w:vAlign w:val="center"/>
          </w:tcPr>
          <w:p>
            <w:pPr>
              <w:pStyle w:val="158"/>
              <w:rPr>
                <w:rFonts w:hint="default" w:ascii="Times New Roman" w:hAnsi="Times New Roman" w:cs="Times New Roman"/>
              </w:rPr>
            </w:pPr>
            <w:r>
              <w:rPr>
                <w:rFonts w:hint="default" w:ascii="Times New Roman" w:hAnsi="Times New Roman" w:cs="Times New Roman"/>
              </w:rPr>
              <w:t>序号</w:t>
            </w:r>
          </w:p>
        </w:tc>
        <w:tc>
          <w:tcPr>
            <w:tcW w:w="2268" w:type="dxa"/>
            <w:vMerge w:val="restart"/>
            <w:vAlign w:val="center"/>
          </w:tcPr>
          <w:p>
            <w:pPr>
              <w:pStyle w:val="158"/>
              <w:rPr>
                <w:rFonts w:hint="default" w:ascii="Times New Roman" w:hAnsi="Times New Roman" w:cs="Times New Roman"/>
              </w:rPr>
            </w:pPr>
            <w:r>
              <w:rPr>
                <w:rFonts w:hint="default" w:ascii="Times New Roman" w:hAnsi="Times New Roman" w:cs="Times New Roman"/>
              </w:rPr>
              <w:t>分区名称</w:t>
            </w:r>
          </w:p>
        </w:tc>
        <w:tc>
          <w:tcPr>
            <w:tcW w:w="3732" w:type="dxa"/>
            <w:gridSpan w:val="2"/>
            <w:vAlign w:val="center"/>
          </w:tcPr>
          <w:p>
            <w:pPr>
              <w:pStyle w:val="158"/>
              <w:rPr>
                <w:rFonts w:hint="default" w:ascii="Times New Roman" w:hAnsi="Times New Roman" w:cs="Times New Roman"/>
              </w:rPr>
            </w:pPr>
            <w:r>
              <w:rPr>
                <w:rFonts w:hint="default" w:ascii="Times New Roman" w:hAnsi="Times New Roman" w:cs="Times New Roman"/>
              </w:rPr>
              <w:t>面积（hm</w:t>
            </w:r>
            <w:r>
              <w:rPr>
                <w:rFonts w:hint="default" w:ascii="Times New Roman" w:hAnsi="Times New Roman" w:cs="Times New Roman"/>
                <w:vertAlign w:val="superscript"/>
              </w:rPr>
              <w:t>2</w:t>
            </w:r>
            <w:r>
              <w:rPr>
                <w:rFonts w:hint="default" w:ascii="Times New Roman" w:hAnsi="Times New Roman" w:cs="Times New Roman"/>
              </w:rPr>
              <w:t>）</w:t>
            </w:r>
          </w:p>
        </w:tc>
        <w:tc>
          <w:tcPr>
            <w:tcW w:w="1705" w:type="dxa"/>
            <w:vMerge w:val="restart"/>
            <w:vAlign w:val="center"/>
          </w:tcPr>
          <w:p>
            <w:pPr>
              <w:pStyle w:val="158"/>
              <w:rPr>
                <w:rFonts w:hint="default" w:ascii="Times New Roman" w:hAnsi="Times New Roman" w:cs="Times New Roman"/>
              </w:rPr>
            </w:pPr>
            <w:r>
              <w:rPr>
                <w:rFonts w:hint="default" w:ascii="Times New Roman" w:hAnsi="Times New Roman" w:cs="Times New Roman"/>
              </w:rPr>
              <w:t>合计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817" w:type="dxa"/>
            <w:vMerge w:val="continue"/>
            <w:vAlign w:val="center"/>
          </w:tcPr>
          <w:p>
            <w:pPr>
              <w:pStyle w:val="158"/>
              <w:rPr>
                <w:rFonts w:hint="default" w:ascii="Times New Roman" w:hAnsi="Times New Roman" w:cs="Times New Roman"/>
              </w:rPr>
            </w:pPr>
          </w:p>
        </w:tc>
        <w:tc>
          <w:tcPr>
            <w:tcW w:w="2268" w:type="dxa"/>
            <w:vMerge w:val="continue"/>
            <w:vAlign w:val="center"/>
          </w:tcPr>
          <w:p>
            <w:pPr>
              <w:pStyle w:val="158"/>
              <w:rPr>
                <w:rFonts w:hint="default" w:ascii="Times New Roman" w:hAnsi="Times New Roman" w:cs="Times New Roman"/>
              </w:rPr>
            </w:pPr>
          </w:p>
        </w:tc>
        <w:tc>
          <w:tcPr>
            <w:tcW w:w="2027" w:type="dxa"/>
            <w:vAlign w:val="center"/>
          </w:tcPr>
          <w:p>
            <w:pPr>
              <w:pStyle w:val="158"/>
              <w:rPr>
                <w:rFonts w:hint="default" w:ascii="Times New Roman" w:hAnsi="Times New Roman" w:cs="Times New Roman"/>
              </w:rPr>
            </w:pPr>
            <w:r>
              <w:rPr>
                <w:rFonts w:hint="default" w:ascii="Times New Roman" w:hAnsi="Times New Roman" w:cs="Times New Roman"/>
              </w:rPr>
              <w:t>项目建设区</w:t>
            </w:r>
          </w:p>
        </w:tc>
        <w:tc>
          <w:tcPr>
            <w:tcW w:w="1705" w:type="dxa"/>
            <w:vAlign w:val="center"/>
          </w:tcPr>
          <w:p>
            <w:pPr>
              <w:pStyle w:val="158"/>
              <w:rPr>
                <w:rFonts w:hint="default" w:ascii="Times New Roman" w:hAnsi="Times New Roman" w:cs="Times New Roman"/>
              </w:rPr>
            </w:pPr>
            <w:r>
              <w:rPr>
                <w:rFonts w:hint="default" w:ascii="Times New Roman" w:hAnsi="Times New Roman" w:cs="Times New Roman"/>
              </w:rPr>
              <w:t>直接影响区</w:t>
            </w:r>
          </w:p>
        </w:tc>
        <w:tc>
          <w:tcPr>
            <w:tcW w:w="1705" w:type="dxa"/>
            <w:vMerge w:val="continue"/>
            <w:vAlign w:val="center"/>
          </w:tcPr>
          <w:p>
            <w:pPr>
              <w:pStyle w:val="158"/>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817" w:type="dxa"/>
            <w:vAlign w:val="center"/>
          </w:tcPr>
          <w:p>
            <w:pPr>
              <w:pStyle w:val="158"/>
              <w:rPr>
                <w:rFonts w:hint="default" w:ascii="Times New Roman" w:hAnsi="Times New Roman" w:cs="Times New Roman"/>
              </w:rPr>
            </w:pPr>
            <w:r>
              <w:rPr>
                <w:rFonts w:hint="default" w:ascii="Times New Roman" w:hAnsi="Times New Roman" w:cs="Times New Roman"/>
              </w:rPr>
              <w:t>1</w:t>
            </w:r>
          </w:p>
        </w:tc>
        <w:tc>
          <w:tcPr>
            <w:tcW w:w="2268" w:type="dxa"/>
            <w:vAlign w:val="center"/>
          </w:tcPr>
          <w:p>
            <w:pPr>
              <w:pStyle w:val="158"/>
              <w:rPr>
                <w:rFonts w:hint="default" w:ascii="Times New Roman" w:hAnsi="Times New Roman" w:cs="Times New Roman"/>
              </w:rPr>
            </w:pPr>
            <w:r>
              <w:rPr>
                <w:rFonts w:hint="default" w:ascii="Times New Roman" w:hAnsi="Times New Roman" w:cs="Times New Roman"/>
                <w:kern w:val="0"/>
                <w:sz w:val="21"/>
                <w:szCs w:val="21"/>
              </w:rPr>
              <w:t>主体建筑区</w:t>
            </w:r>
          </w:p>
        </w:tc>
        <w:tc>
          <w:tcPr>
            <w:tcW w:w="2027" w:type="dxa"/>
            <w:vAlign w:val="center"/>
          </w:tcPr>
          <w:p>
            <w:pPr>
              <w:pStyle w:val="158"/>
              <w:rPr>
                <w:rFonts w:hint="default" w:ascii="Times New Roman" w:hAnsi="Times New Roman" w:eastAsia="宋体" w:cs="Times New Roman"/>
                <w:lang w:val="en-US" w:eastAsia="zh-CN"/>
              </w:rPr>
            </w:pPr>
            <w:r>
              <w:rPr>
                <w:rFonts w:hint="default" w:ascii="Times New Roman" w:hAnsi="Times New Roman" w:cs="Times New Roman"/>
                <w:lang w:val="en-US" w:eastAsia="zh-CN"/>
              </w:rPr>
              <w:t>0.46</w:t>
            </w:r>
          </w:p>
        </w:tc>
        <w:tc>
          <w:tcPr>
            <w:tcW w:w="1705" w:type="dxa"/>
            <w:vMerge w:val="restart"/>
            <w:vAlign w:val="center"/>
          </w:tcPr>
          <w:p>
            <w:pPr>
              <w:pStyle w:val="158"/>
              <w:rPr>
                <w:rFonts w:hint="default" w:ascii="Times New Roman" w:hAnsi="Times New Roman" w:eastAsia="宋体" w:cs="Times New Roman"/>
                <w:lang w:val="en-US" w:eastAsia="zh-CN"/>
              </w:rPr>
            </w:pPr>
            <w:r>
              <w:rPr>
                <w:rFonts w:hint="default" w:ascii="Times New Roman" w:hAnsi="Times New Roman" w:cs="Times New Roman"/>
                <w:lang w:val="en-US" w:eastAsia="zh-CN"/>
              </w:rPr>
              <w:t>0.17</w:t>
            </w:r>
          </w:p>
        </w:tc>
        <w:tc>
          <w:tcPr>
            <w:tcW w:w="1705" w:type="dxa"/>
            <w:vMerge w:val="restart"/>
            <w:vAlign w:val="center"/>
          </w:tcPr>
          <w:p>
            <w:pPr>
              <w:pStyle w:val="158"/>
              <w:rPr>
                <w:rFonts w:hint="default" w:ascii="Times New Roman" w:hAnsi="Times New Roman" w:eastAsia="宋体" w:cs="Times New Roman"/>
                <w:lang w:val="en-US" w:eastAsia="zh-CN"/>
              </w:rPr>
            </w:pPr>
            <w:r>
              <w:rPr>
                <w:rFonts w:hint="default" w:ascii="Times New Roman" w:hAnsi="Times New Roman" w:cs="Times New Roman"/>
                <w:lang w:val="en-US" w:eastAsia="zh-CN"/>
              </w:rPr>
              <w:t>1.51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817" w:type="dxa"/>
            <w:vAlign w:val="center"/>
          </w:tcPr>
          <w:p>
            <w:pPr>
              <w:pStyle w:val="158"/>
              <w:rPr>
                <w:rFonts w:hint="default" w:ascii="Times New Roman" w:hAnsi="Times New Roman" w:cs="Times New Roman"/>
              </w:rPr>
            </w:pPr>
            <w:r>
              <w:rPr>
                <w:rFonts w:hint="default" w:ascii="Times New Roman" w:hAnsi="Times New Roman" w:cs="Times New Roman"/>
              </w:rPr>
              <w:t>2</w:t>
            </w:r>
          </w:p>
        </w:tc>
        <w:tc>
          <w:tcPr>
            <w:tcW w:w="2268" w:type="dxa"/>
            <w:vAlign w:val="center"/>
          </w:tcPr>
          <w:p>
            <w:pPr>
              <w:pStyle w:val="158"/>
              <w:rPr>
                <w:rFonts w:hint="default" w:ascii="Times New Roman" w:hAnsi="Times New Roman" w:cs="Times New Roman"/>
              </w:rPr>
            </w:pPr>
            <w:r>
              <w:rPr>
                <w:rFonts w:hint="default" w:ascii="Times New Roman" w:hAnsi="Times New Roman" w:cs="Times New Roman"/>
                <w:kern w:val="0"/>
                <w:sz w:val="21"/>
                <w:szCs w:val="21"/>
              </w:rPr>
              <w:t>道路</w:t>
            </w:r>
            <w:r>
              <w:rPr>
                <w:rFonts w:hint="default" w:ascii="Times New Roman" w:hAnsi="Times New Roman" w:cs="Times New Roman"/>
                <w:kern w:val="0"/>
                <w:sz w:val="21"/>
                <w:szCs w:val="21"/>
                <w:lang w:val="en-US" w:eastAsia="zh-CN"/>
              </w:rPr>
              <w:t>广</w:t>
            </w:r>
            <w:r>
              <w:rPr>
                <w:rFonts w:hint="default" w:ascii="Times New Roman" w:hAnsi="Times New Roman" w:cs="Times New Roman"/>
                <w:kern w:val="0"/>
                <w:sz w:val="21"/>
                <w:szCs w:val="21"/>
              </w:rPr>
              <w:t>场区</w:t>
            </w:r>
          </w:p>
        </w:tc>
        <w:tc>
          <w:tcPr>
            <w:tcW w:w="2027" w:type="dxa"/>
            <w:vAlign w:val="center"/>
          </w:tcPr>
          <w:p>
            <w:pPr>
              <w:pStyle w:val="158"/>
              <w:rPr>
                <w:rFonts w:hint="default" w:ascii="Times New Roman" w:hAnsi="Times New Roman" w:eastAsia="宋体" w:cs="Times New Roman"/>
                <w:lang w:val="en-US" w:eastAsia="zh-CN"/>
              </w:rPr>
            </w:pPr>
            <w:r>
              <w:rPr>
                <w:rFonts w:hint="default" w:ascii="Times New Roman" w:hAnsi="Times New Roman" w:cs="Times New Roman"/>
                <w:lang w:val="en-US" w:eastAsia="zh-CN"/>
              </w:rPr>
              <w:t>0.40</w:t>
            </w:r>
          </w:p>
        </w:tc>
        <w:tc>
          <w:tcPr>
            <w:tcW w:w="1705" w:type="dxa"/>
            <w:vMerge w:val="continue"/>
            <w:vAlign w:val="center"/>
          </w:tcPr>
          <w:p>
            <w:pPr>
              <w:pStyle w:val="158"/>
              <w:rPr>
                <w:rFonts w:hint="default" w:ascii="Times New Roman" w:hAnsi="Times New Roman" w:cs="Times New Roman"/>
              </w:rPr>
            </w:pPr>
          </w:p>
        </w:tc>
        <w:tc>
          <w:tcPr>
            <w:tcW w:w="1705" w:type="dxa"/>
            <w:vMerge w:val="continue"/>
            <w:vAlign w:val="center"/>
          </w:tcPr>
          <w:p>
            <w:pPr>
              <w:pStyle w:val="158"/>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817" w:type="dxa"/>
            <w:vAlign w:val="center"/>
          </w:tcPr>
          <w:p>
            <w:pPr>
              <w:pStyle w:val="158"/>
              <w:rPr>
                <w:rFonts w:hint="default" w:ascii="Times New Roman" w:hAnsi="Times New Roman" w:cs="Times New Roman"/>
              </w:rPr>
            </w:pPr>
            <w:r>
              <w:rPr>
                <w:rFonts w:hint="default" w:ascii="Times New Roman" w:hAnsi="Times New Roman" w:cs="Times New Roman"/>
              </w:rPr>
              <w:t>3</w:t>
            </w:r>
          </w:p>
        </w:tc>
        <w:tc>
          <w:tcPr>
            <w:tcW w:w="2268" w:type="dxa"/>
            <w:vAlign w:val="center"/>
          </w:tcPr>
          <w:p>
            <w:pPr>
              <w:pStyle w:val="158"/>
              <w:rPr>
                <w:rFonts w:hint="default" w:ascii="Times New Roman" w:hAnsi="Times New Roman" w:cs="Times New Roman"/>
              </w:rPr>
            </w:pPr>
            <w:r>
              <w:rPr>
                <w:rFonts w:hint="default" w:ascii="Times New Roman" w:hAnsi="Times New Roman" w:cs="Times New Roman"/>
                <w:kern w:val="0"/>
                <w:sz w:val="21"/>
                <w:szCs w:val="21"/>
              </w:rPr>
              <w:t>景观绿化区</w:t>
            </w:r>
          </w:p>
        </w:tc>
        <w:tc>
          <w:tcPr>
            <w:tcW w:w="2027" w:type="dxa"/>
            <w:vAlign w:val="center"/>
          </w:tcPr>
          <w:p>
            <w:pPr>
              <w:pStyle w:val="158"/>
              <w:rPr>
                <w:rFonts w:hint="default" w:ascii="Times New Roman" w:hAnsi="Times New Roman" w:eastAsia="宋体" w:cs="Times New Roman"/>
                <w:lang w:val="en-US" w:eastAsia="zh-CN"/>
              </w:rPr>
            </w:pPr>
            <w:r>
              <w:rPr>
                <w:rFonts w:hint="default" w:ascii="Times New Roman" w:hAnsi="Times New Roman" w:cs="Times New Roman"/>
                <w:lang w:val="en-US" w:eastAsia="zh-CN"/>
              </w:rPr>
              <w:t>0.48</w:t>
            </w:r>
          </w:p>
        </w:tc>
        <w:tc>
          <w:tcPr>
            <w:tcW w:w="1705" w:type="dxa"/>
            <w:vMerge w:val="continue"/>
            <w:vAlign w:val="center"/>
          </w:tcPr>
          <w:p>
            <w:pPr>
              <w:pStyle w:val="158"/>
              <w:rPr>
                <w:rFonts w:hint="default" w:ascii="Times New Roman" w:hAnsi="Times New Roman" w:cs="Times New Roman"/>
              </w:rPr>
            </w:pPr>
          </w:p>
        </w:tc>
        <w:tc>
          <w:tcPr>
            <w:tcW w:w="1705" w:type="dxa"/>
            <w:vMerge w:val="continue"/>
            <w:vAlign w:val="center"/>
          </w:tcPr>
          <w:p>
            <w:pPr>
              <w:pStyle w:val="158"/>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3085" w:type="dxa"/>
            <w:gridSpan w:val="2"/>
            <w:vAlign w:val="center"/>
          </w:tcPr>
          <w:p>
            <w:pPr>
              <w:pStyle w:val="158"/>
              <w:rPr>
                <w:rFonts w:hint="default" w:ascii="Times New Roman" w:hAnsi="Times New Roman" w:cs="Times New Roman"/>
              </w:rPr>
            </w:pPr>
            <w:r>
              <w:rPr>
                <w:rFonts w:hint="default" w:ascii="Times New Roman" w:hAnsi="Times New Roman" w:cs="Times New Roman"/>
              </w:rPr>
              <w:t>合计</w:t>
            </w:r>
          </w:p>
        </w:tc>
        <w:tc>
          <w:tcPr>
            <w:tcW w:w="2027" w:type="dxa"/>
            <w:vAlign w:val="center"/>
          </w:tcPr>
          <w:p>
            <w:pPr>
              <w:pStyle w:val="158"/>
              <w:rPr>
                <w:rFonts w:hint="default" w:ascii="Times New Roman" w:hAnsi="Times New Roman" w:eastAsia="宋体" w:cs="Times New Roman"/>
                <w:lang w:val="en-US" w:eastAsia="zh-CN"/>
              </w:rPr>
            </w:pPr>
            <w:r>
              <w:rPr>
                <w:rFonts w:hint="default" w:ascii="Times New Roman" w:hAnsi="Times New Roman" w:cs="Times New Roman"/>
                <w:lang w:val="en-US" w:eastAsia="zh-CN"/>
              </w:rPr>
              <w:t>1.34</w:t>
            </w:r>
          </w:p>
        </w:tc>
        <w:tc>
          <w:tcPr>
            <w:tcW w:w="1705" w:type="dxa"/>
            <w:vAlign w:val="center"/>
          </w:tcPr>
          <w:p>
            <w:pPr>
              <w:pStyle w:val="158"/>
              <w:rPr>
                <w:rFonts w:hint="default" w:ascii="Times New Roman" w:hAnsi="Times New Roman" w:eastAsia="宋体" w:cs="Times New Roman"/>
                <w:lang w:val="en-US" w:eastAsia="zh-CN"/>
              </w:rPr>
            </w:pPr>
            <w:r>
              <w:rPr>
                <w:rFonts w:hint="default" w:ascii="Times New Roman" w:hAnsi="Times New Roman" w:cs="Times New Roman"/>
                <w:lang w:val="en-US" w:eastAsia="zh-CN"/>
              </w:rPr>
              <w:t>0.17</w:t>
            </w:r>
          </w:p>
        </w:tc>
        <w:tc>
          <w:tcPr>
            <w:tcW w:w="1705" w:type="dxa"/>
            <w:vAlign w:val="center"/>
          </w:tcPr>
          <w:p>
            <w:pPr>
              <w:pStyle w:val="158"/>
              <w:rPr>
                <w:rFonts w:hint="default" w:ascii="Times New Roman" w:hAnsi="Times New Roman" w:eastAsia="宋体" w:cs="Times New Roman"/>
                <w:lang w:val="en-US" w:eastAsia="zh-CN"/>
              </w:rPr>
            </w:pPr>
            <w:r>
              <w:rPr>
                <w:rFonts w:hint="default" w:ascii="Times New Roman" w:hAnsi="Times New Roman" w:cs="Times New Roman"/>
                <w:lang w:val="en-US" w:eastAsia="zh-CN"/>
              </w:rPr>
              <w:t>1.51</w:t>
            </w:r>
          </w:p>
        </w:tc>
      </w:tr>
    </w:tbl>
    <w:p>
      <w:pPr>
        <w:pStyle w:val="440"/>
        <w:ind w:firstLine="480"/>
        <w:rPr>
          <w:rFonts w:hint="default" w:ascii="Times New Roman" w:hAnsi="Times New Roman" w:cs="Times New Roman"/>
        </w:rPr>
      </w:pPr>
      <w:r>
        <w:rPr>
          <w:rFonts w:hint="default" w:ascii="Times New Roman" w:hAnsi="Times New Roman" w:cs="Times New Roman"/>
        </w:rPr>
        <w:t>由于施工期防治责任范围中项目建设区范围未发生变化，直接影响区面积较水土保持方案中有所增加，主要原因在于监测实际施工中对建设区外的区域影响范围比水土保持方案中预测的大，实际发生的防治责任范围总面积为</w:t>
      </w:r>
      <w:r>
        <w:rPr>
          <w:rFonts w:hint="default" w:ascii="Times New Roman" w:hAnsi="Times New Roman" w:cs="Times New Roman"/>
          <w:lang w:val="en-US" w:eastAsia="zh-CN"/>
        </w:rPr>
        <w:t>1.55</w:t>
      </w:r>
      <w:r>
        <w:rPr>
          <w:rFonts w:hint="default" w:ascii="Times New Roman" w:hAnsi="Times New Roman" w:cs="Times New Roman"/>
        </w:rPr>
        <w:t>hm</w:t>
      </w:r>
      <w:r>
        <w:rPr>
          <w:rFonts w:hint="default" w:ascii="Times New Roman" w:hAnsi="Times New Roman" w:cs="Times New Roman"/>
          <w:vertAlign w:val="superscript"/>
        </w:rPr>
        <w:t>2</w:t>
      </w:r>
      <w:r>
        <w:rPr>
          <w:rFonts w:hint="default" w:ascii="Times New Roman" w:hAnsi="Times New Roman" w:cs="Times New Roman"/>
        </w:rPr>
        <w:t>。具体见表3-2。</w:t>
      </w:r>
    </w:p>
    <w:p>
      <w:pPr>
        <w:pStyle w:val="32"/>
        <w:ind w:firstLine="480"/>
        <w:rPr>
          <w:rFonts w:hint="default" w:ascii="Times New Roman" w:hAnsi="Times New Roman" w:cs="Times New Roman"/>
        </w:rPr>
      </w:pPr>
      <w:r>
        <w:rPr>
          <w:rFonts w:hint="default" w:ascii="Times New Roman" w:hAnsi="Times New Roman" w:cs="Times New Roman"/>
        </w:rPr>
        <w:t>表3-2  项目工程区实际水土流失防治责任范围面积统计表</w:t>
      </w:r>
    </w:p>
    <w:tbl>
      <w:tblPr>
        <w:tblStyle w:val="46"/>
        <w:tblW w:w="8981"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60"/>
        <w:gridCol w:w="2391"/>
        <w:gridCol w:w="2136"/>
        <w:gridCol w:w="1798"/>
        <w:gridCol w:w="179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77" w:hRule="atLeast"/>
        </w:trPr>
        <w:tc>
          <w:tcPr>
            <w:tcW w:w="860" w:type="dxa"/>
            <w:vMerge w:val="restart"/>
            <w:vAlign w:val="center"/>
          </w:tcPr>
          <w:p>
            <w:pPr>
              <w:pStyle w:val="158"/>
              <w:rPr>
                <w:rFonts w:hint="default" w:ascii="Times New Roman" w:hAnsi="Times New Roman" w:cs="Times New Roman"/>
              </w:rPr>
            </w:pPr>
            <w:r>
              <w:rPr>
                <w:rFonts w:hint="default" w:ascii="Times New Roman" w:hAnsi="Times New Roman" w:cs="Times New Roman"/>
              </w:rPr>
              <w:t>序号</w:t>
            </w:r>
          </w:p>
        </w:tc>
        <w:tc>
          <w:tcPr>
            <w:tcW w:w="2391" w:type="dxa"/>
            <w:vMerge w:val="restart"/>
            <w:vAlign w:val="center"/>
          </w:tcPr>
          <w:p>
            <w:pPr>
              <w:pStyle w:val="158"/>
              <w:rPr>
                <w:rFonts w:hint="default" w:ascii="Times New Roman" w:hAnsi="Times New Roman" w:cs="Times New Roman"/>
              </w:rPr>
            </w:pPr>
            <w:r>
              <w:rPr>
                <w:rFonts w:hint="default" w:ascii="Times New Roman" w:hAnsi="Times New Roman" w:cs="Times New Roman"/>
              </w:rPr>
              <w:t>分区名称</w:t>
            </w:r>
          </w:p>
        </w:tc>
        <w:tc>
          <w:tcPr>
            <w:tcW w:w="3934" w:type="dxa"/>
            <w:gridSpan w:val="2"/>
            <w:vAlign w:val="center"/>
          </w:tcPr>
          <w:p>
            <w:pPr>
              <w:pStyle w:val="158"/>
              <w:rPr>
                <w:rFonts w:hint="default" w:ascii="Times New Roman" w:hAnsi="Times New Roman" w:cs="Times New Roman"/>
              </w:rPr>
            </w:pPr>
            <w:r>
              <w:rPr>
                <w:rFonts w:hint="default" w:ascii="Times New Roman" w:hAnsi="Times New Roman" w:cs="Times New Roman"/>
              </w:rPr>
              <w:t>面积（hm</w:t>
            </w:r>
            <w:r>
              <w:rPr>
                <w:rFonts w:hint="default" w:ascii="Times New Roman" w:hAnsi="Times New Roman" w:cs="Times New Roman"/>
                <w:vertAlign w:val="superscript"/>
              </w:rPr>
              <w:t>2</w:t>
            </w:r>
            <w:r>
              <w:rPr>
                <w:rFonts w:hint="default" w:ascii="Times New Roman" w:hAnsi="Times New Roman" w:cs="Times New Roman"/>
              </w:rPr>
              <w:t>）</w:t>
            </w:r>
          </w:p>
        </w:tc>
        <w:tc>
          <w:tcPr>
            <w:tcW w:w="1796" w:type="dxa"/>
            <w:vMerge w:val="restart"/>
            <w:vAlign w:val="center"/>
          </w:tcPr>
          <w:p>
            <w:pPr>
              <w:pStyle w:val="158"/>
              <w:rPr>
                <w:rFonts w:hint="default" w:ascii="Times New Roman" w:hAnsi="Times New Roman" w:cs="Times New Roman"/>
              </w:rPr>
            </w:pPr>
            <w:r>
              <w:rPr>
                <w:rFonts w:hint="default" w:ascii="Times New Roman" w:hAnsi="Times New Roman" w:cs="Times New Roman"/>
              </w:rPr>
              <w:t>合计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860" w:type="dxa"/>
            <w:vMerge w:val="continue"/>
            <w:vAlign w:val="center"/>
          </w:tcPr>
          <w:p>
            <w:pPr>
              <w:pStyle w:val="158"/>
              <w:rPr>
                <w:rFonts w:hint="default" w:ascii="Times New Roman" w:hAnsi="Times New Roman" w:cs="Times New Roman"/>
              </w:rPr>
            </w:pPr>
          </w:p>
        </w:tc>
        <w:tc>
          <w:tcPr>
            <w:tcW w:w="2391" w:type="dxa"/>
            <w:vMerge w:val="continue"/>
            <w:vAlign w:val="center"/>
          </w:tcPr>
          <w:p>
            <w:pPr>
              <w:pStyle w:val="158"/>
              <w:rPr>
                <w:rFonts w:hint="default" w:ascii="Times New Roman" w:hAnsi="Times New Roman" w:cs="Times New Roman"/>
              </w:rPr>
            </w:pPr>
          </w:p>
        </w:tc>
        <w:tc>
          <w:tcPr>
            <w:tcW w:w="2136" w:type="dxa"/>
            <w:vAlign w:val="center"/>
          </w:tcPr>
          <w:p>
            <w:pPr>
              <w:pStyle w:val="158"/>
              <w:rPr>
                <w:rFonts w:hint="default" w:ascii="Times New Roman" w:hAnsi="Times New Roman" w:cs="Times New Roman"/>
              </w:rPr>
            </w:pPr>
            <w:r>
              <w:rPr>
                <w:rFonts w:hint="default" w:ascii="Times New Roman" w:hAnsi="Times New Roman" w:cs="Times New Roman"/>
              </w:rPr>
              <w:t>项目建设区</w:t>
            </w:r>
          </w:p>
        </w:tc>
        <w:tc>
          <w:tcPr>
            <w:tcW w:w="1798" w:type="dxa"/>
            <w:vAlign w:val="center"/>
          </w:tcPr>
          <w:p>
            <w:pPr>
              <w:pStyle w:val="158"/>
              <w:rPr>
                <w:rFonts w:hint="default" w:ascii="Times New Roman" w:hAnsi="Times New Roman" w:cs="Times New Roman"/>
              </w:rPr>
            </w:pPr>
            <w:r>
              <w:rPr>
                <w:rFonts w:hint="default" w:ascii="Times New Roman" w:hAnsi="Times New Roman" w:cs="Times New Roman"/>
              </w:rPr>
              <w:t>直接影响区</w:t>
            </w:r>
          </w:p>
        </w:tc>
        <w:tc>
          <w:tcPr>
            <w:tcW w:w="1796" w:type="dxa"/>
            <w:vMerge w:val="continue"/>
            <w:vAlign w:val="center"/>
          </w:tcPr>
          <w:p>
            <w:pPr>
              <w:pStyle w:val="158"/>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860" w:type="dxa"/>
            <w:vAlign w:val="center"/>
          </w:tcPr>
          <w:p>
            <w:pPr>
              <w:pStyle w:val="158"/>
              <w:rPr>
                <w:rFonts w:hint="default" w:ascii="Times New Roman" w:hAnsi="Times New Roman" w:cs="Times New Roman"/>
              </w:rPr>
            </w:pPr>
            <w:r>
              <w:rPr>
                <w:rFonts w:hint="default" w:ascii="Times New Roman" w:hAnsi="Times New Roman" w:cs="Times New Roman"/>
              </w:rPr>
              <w:t>1</w:t>
            </w:r>
          </w:p>
        </w:tc>
        <w:tc>
          <w:tcPr>
            <w:tcW w:w="2391" w:type="dxa"/>
            <w:vAlign w:val="center"/>
          </w:tcPr>
          <w:p>
            <w:pPr>
              <w:pStyle w:val="158"/>
              <w:rPr>
                <w:rFonts w:hint="default" w:ascii="Times New Roman" w:hAnsi="Times New Roman" w:cs="Times New Roman"/>
              </w:rPr>
            </w:pPr>
            <w:r>
              <w:rPr>
                <w:rFonts w:hint="default" w:ascii="Times New Roman" w:hAnsi="Times New Roman" w:cs="Times New Roman"/>
                <w:kern w:val="0"/>
                <w:sz w:val="21"/>
                <w:szCs w:val="21"/>
              </w:rPr>
              <w:t>主体建筑区</w:t>
            </w:r>
          </w:p>
        </w:tc>
        <w:tc>
          <w:tcPr>
            <w:tcW w:w="2136" w:type="dxa"/>
            <w:vAlign w:val="center"/>
          </w:tcPr>
          <w:p>
            <w:pPr>
              <w:pStyle w:val="158"/>
              <w:rPr>
                <w:rFonts w:hint="default" w:ascii="Times New Roman" w:hAnsi="Times New Roman" w:cs="Times New Roman"/>
              </w:rPr>
            </w:pPr>
            <w:r>
              <w:rPr>
                <w:rFonts w:hint="default" w:ascii="Times New Roman" w:hAnsi="Times New Roman" w:cs="Times New Roman"/>
                <w:lang w:val="en-US" w:eastAsia="zh-CN"/>
              </w:rPr>
              <w:t>0.46</w:t>
            </w:r>
          </w:p>
        </w:tc>
        <w:tc>
          <w:tcPr>
            <w:tcW w:w="1798" w:type="dxa"/>
            <w:vMerge w:val="restart"/>
            <w:vAlign w:val="center"/>
          </w:tcPr>
          <w:p>
            <w:pPr>
              <w:pStyle w:val="158"/>
              <w:rPr>
                <w:rFonts w:hint="default" w:ascii="Times New Roman" w:hAnsi="Times New Roman" w:eastAsia="宋体" w:cs="Times New Roman"/>
                <w:lang w:val="en-US" w:eastAsia="zh-CN"/>
              </w:rPr>
            </w:pPr>
            <w:r>
              <w:rPr>
                <w:rFonts w:hint="default" w:ascii="Times New Roman" w:hAnsi="Times New Roman" w:cs="Times New Roman"/>
                <w:lang w:val="en-US" w:eastAsia="zh-CN"/>
              </w:rPr>
              <w:t>0.21</w:t>
            </w:r>
          </w:p>
        </w:tc>
        <w:tc>
          <w:tcPr>
            <w:tcW w:w="1796" w:type="dxa"/>
            <w:vMerge w:val="restart"/>
            <w:vAlign w:val="center"/>
          </w:tcPr>
          <w:p>
            <w:pPr>
              <w:pStyle w:val="158"/>
              <w:rPr>
                <w:rFonts w:hint="default" w:ascii="Times New Roman" w:hAnsi="Times New Roman" w:cs="Times New Roman"/>
                <w:lang w:val="en-US"/>
              </w:rPr>
            </w:pPr>
            <w:r>
              <w:rPr>
                <w:rFonts w:hint="default" w:ascii="Times New Roman" w:hAnsi="Times New Roman" w:cs="Times New Roman"/>
                <w:lang w:val="en-US" w:eastAsia="zh-CN"/>
              </w:rPr>
              <w:t>1.55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860" w:type="dxa"/>
            <w:vAlign w:val="center"/>
          </w:tcPr>
          <w:p>
            <w:pPr>
              <w:pStyle w:val="158"/>
              <w:rPr>
                <w:rFonts w:hint="default" w:ascii="Times New Roman" w:hAnsi="Times New Roman" w:cs="Times New Roman"/>
              </w:rPr>
            </w:pPr>
            <w:r>
              <w:rPr>
                <w:rFonts w:hint="default" w:ascii="Times New Roman" w:hAnsi="Times New Roman" w:cs="Times New Roman"/>
              </w:rPr>
              <w:t>2</w:t>
            </w:r>
          </w:p>
        </w:tc>
        <w:tc>
          <w:tcPr>
            <w:tcW w:w="2391" w:type="dxa"/>
            <w:vAlign w:val="center"/>
          </w:tcPr>
          <w:p>
            <w:pPr>
              <w:pStyle w:val="158"/>
              <w:rPr>
                <w:rFonts w:hint="default" w:ascii="Times New Roman" w:hAnsi="Times New Roman" w:cs="Times New Roman"/>
              </w:rPr>
            </w:pPr>
            <w:r>
              <w:rPr>
                <w:rFonts w:hint="default" w:ascii="Times New Roman" w:hAnsi="Times New Roman" w:cs="Times New Roman"/>
                <w:kern w:val="0"/>
                <w:sz w:val="21"/>
                <w:szCs w:val="21"/>
              </w:rPr>
              <w:t>道路</w:t>
            </w:r>
            <w:r>
              <w:rPr>
                <w:rFonts w:hint="default" w:ascii="Times New Roman" w:hAnsi="Times New Roman" w:cs="Times New Roman"/>
                <w:kern w:val="0"/>
                <w:sz w:val="21"/>
                <w:szCs w:val="21"/>
                <w:lang w:val="en-US" w:eastAsia="zh-CN"/>
              </w:rPr>
              <w:t>广</w:t>
            </w:r>
            <w:r>
              <w:rPr>
                <w:rFonts w:hint="default" w:ascii="Times New Roman" w:hAnsi="Times New Roman" w:cs="Times New Roman"/>
                <w:kern w:val="0"/>
                <w:sz w:val="21"/>
                <w:szCs w:val="21"/>
              </w:rPr>
              <w:t>场区</w:t>
            </w:r>
          </w:p>
        </w:tc>
        <w:tc>
          <w:tcPr>
            <w:tcW w:w="2136" w:type="dxa"/>
            <w:vAlign w:val="center"/>
          </w:tcPr>
          <w:p>
            <w:pPr>
              <w:pStyle w:val="158"/>
              <w:rPr>
                <w:rFonts w:hint="default" w:ascii="Times New Roman" w:hAnsi="Times New Roman" w:cs="Times New Roman"/>
              </w:rPr>
            </w:pPr>
            <w:r>
              <w:rPr>
                <w:rFonts w:hint="default" w:ascii="Times New Roman" w:hAnsi="Times New Roman" w:cs="Times New Roman"/>
                <w:lang w:val="en-US" w:eastAsia="zh-CN"/>
              </w:rPr>
              <w:t>0.40</w:t>
            </w:r>
          </w:p>
        </w:tc>
        <w:tc>
          <w:tcPr>
            <w:tcW w:w="1798" w:type="dxa"/>
            <w:vMerge w:val="continue"/>
            <w:vAlign w:val="center"/>
          </w:tcPr>
          <w:p>
            <w:pPr>
              <w:pStyle w:val="158"/>
              <w:rPr>
                <w:rFonts w:hint="default" w:ascii="Times New Roman" w:hAnsi="Times New Roman" w:cs="Times New Roman"/>
              </w:rPr>
            </w:pPr>
          </w:p>
        </w:tc>
        <w:tc>
          <w:tcPr>
            <w:tcW w:w="1796" w:type="dxa"/>
            <w:vMerge w:val="continue"/>
            <w:vAlign w:val="center"/>
          </w:tcPr>
          <w:p>
            <w:pPr>
              <w:pStyle w:val="158"/>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860" w:type="dxa"/>
            <w:vAlign w:val="center"/>
          </w:tcPr>
          <w:p>
            <w:pPr>
              <w:pStyle w:val="158"/>
              <w:rPr>
                <w:rFonts w:hint="default" w:ascii="Times New Roman" w:hAnsi="Times New Roman" w:cs="Times New Roman"/>
              </w:rPr>
            </w:pPr>
            <w:r>
              <w:rPr>
                <w:rFonts w:hint="default" w:ascii="Times New Roman" w:hAnsi="Times New Roman" w:cs="Times New Roman"/>
              </w:rPr>
              <w:t>3</w:t>
            </w:r>
          </w:p>
        </w:tc>
        <w:tc>
          <w:tcPr>
            <w:tcW w:w="2391" w:type="dxa"/>
            <w:vAlign w:val="center"/>
          </w:tcPr>
          <w:p>
            <w:pPr>
              <w:pStyle w:val="158"/>
              <w:rPr>
                <w:rFonts w:hint="default" w:ascii="Times New Roman" w:hAnsi="Times New Roman" w:cs="Times New Roman"/>
              </w:rPr>
            </w:pPr>
            <w:r>
              <w:rPr>
                <w:rFonts w:hint="default" w:ascii="Times New Roman" w:hAnsi="Times New Roman" w:cs="Times New Roman"/>
                <w:kern w:val="0"/>
                <w:sz w:val="21"/>
                <w:szCs w:val="21"/>
              </w:rPr>
              <w:t>景观绿化区</w:t>
            </w:r>
          </w:p>
        </w:tc>
        <w:tc>
          <w:tcPr>
            <w:tcW w:w="2136" w:type="dxa"/>
            <w:vAlign w:val="center"/>
          </w:tcPr>
          <w:p>
            <w:pPr>
              <w:pStyle w:val="158"/>
              <w:rPr>
                <w:rFonts w:hint="default" w:ascii="Times New Roman" w:hAnsi="Times New Roman" w:cs="Times New Roman"/>
              </w:rPr>
            </w:pPr>
            <w:r>
              <w:rPr>
                <w:rFonts w:hint="default" w:ascii="Times New Roman" w:hAnsi="Times New Roman" w:cs="Times New Roman"/>
                <w:lang w:val="en-US" w:eastAsia="zh-CN"/>
              </w:rPr>
              <w:t>0.48</w:t>
            </w:r>
          </w:p>
        </w:tc>
        <w:tc>
          <w:tcPr>
            <w:tcW w:w="1798" w:type="dxa"/>
            <w:vMerge w:val="continue"/>
            <w:vAlign w:val="center"/>
          </w:tcPr>
          <w:p>
            <w:pPr>
              <w:pStyle w:val="158"/>
              <w:rPr>
                <w:rFonts w:hint="default" w:ascii="Times New Roman" w:hAnsi="Times New Roman" w:cs="Times New Roman"/>
              </w:rPr>
            </w:pPr>
          </w:p>
        </w:tc>
        <w:tc>
          <w:tcPr>
            <w:tcW w:w="1796" w:type="dxa"/>
            <w:vMerge w:val="continue"/>
            <w:vAlign w:val="center"/>
          </w:tcPr>
          <w:p>
            <w:pPr>
              <w:pStyle w:val="158"/>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3251" w:type="dxa"/>
            <w:gridSpan w:val="2"/>
            <w:vAlign w:val="center"/>
          </w:tcPr>
          <w:p>
            <w:pPr>
              <w:pStyle w:val="158"/>
              <w:rPr>
                <w:rFonts w:hint="default" w:ascii="Times New Roman" w:hAnsi="Times New Roman" w:cs="Times New Roman"/>
              </w:rPr>
            </w:pPr>
            <w:r>
              <w:rPr>
                <w:rFonts w:hint="default" w:ascii="Times New Roman" w:hAnsi="Times New Roman" w:cs="Times New Roman"/>
              </w:rPr>
              <w:t>合计</w:t>
            </w:r>
          </w:p>
        </w:tc>
        <w:tc>
          <w:tcPr>
            <w:tcW w:w="2136" w:type="dxa"/>
            <w:vAlign w:val="center"/>
          </w:tcPr>
          <w:p>
            <w:pPr>
              <w:pStyle w:val="158"/>
              <w:rPr>
                <w:rFonts w:hint="default" w:ascii="Times New Roman" w:hAnsi="Times New Roman" w:cs="Times New Roman"/>
              </w:rPr>
            </w:pPr>
            <w:r>
              <w:rPr>
                <w:rFonts w:hint="default" w:ascii="Times New Roman" w:hAnsi="Times New Roman" w:cs="Times New Roman"/>
                <w:lang w:val="en-US" w:eastAsia="zh-CN"/>
              </w:rPr>
              <w:t>1.34</w:t>
            </w:r>
          </w:p>
        </w:tc>
        <w:tc>
          <w:tcPr>
            <w:tcW w:w="1798" w:type="dxa"/>
            <w:vAlign w:val="center"/>
          </w:tcPr>
          <w:p>
            <w:pPr>
              <w:pStyle w:val="158"/>
              <w:rPr>
                <w:rFonts w:hint="default" w:ascii="Times New Roman" w:hAnsi="Times New Roman" w:eastAsia="宋体" w:cs="Times New Roman"/>
                <w:lang w:val="en-US" w:eastAsia="zh-CN"/>
              </w:rPr>
            </w:pPr>
            <w:r>
              <w:rPr>
                <w:rFonts w:hint="default" w:ascii="Times New Roman" w:hAnsi="Times New Roman" w:cs="Times New Roman"/>
                <w:lang w:val="en-US" w:eastAsia="zh-CN"/>
              </w:rPr>
              <w:t>0.21</w:t>
            </w:r>
          </w:p>
        </w:tc>
        <w:tc>
          <w:tcPr>
            <w:tcW w:w="1796" w:type="dxa"/>
            <w:vAlign w:val="center"/>
          </w:tcPr>
          <w:p>
            <w:pPr>
              <w:pStyle w:val="158"/>
              <w:rPr>
                <w:rFonts w:hint="default" w:ascii="Times New Roman" w:hAnsi="Times New Roman" w:cs="Times New Roman"/>
                <w:lang w:val="en-US"/>
              </w:rPr>
            </w:pPr>
            <w:r>
              <w:rPr>
                <w:rFonts w:hint="default" w:ascii="Times New Roman" w:hAnsi="Times New Roman" w:cs="Times New Roman"/>
                <w:lang w:val="en-US" w:eastAsia="zh-CN"/>
              </w:rPr>
              <w:t>1.55</w:t>
            </w:r>
          </w:p>
        </w:tc>
      </w:tr>
    </w:tbl>
    <w:p>
      <w:pPr>
        <w:pStyle w:val="3"/>
        <w:rPr>
          <w:rFonts w:hint="default" w:ascii="Times New Roman" w:hAnsi="Times New Roman" w:cs="Times New Roman"/>
        </w:rPr>
      </w:pPr>
      <w:bookmarkStart w:id="37" w:name="_Toc502049578"/>
      <w:r>
        <w:rPr>
          <w:rFonts w:hint="default" w:ascii="Times New Roman" w:hAnsi="Times New Roman" w:cs="Times New Roman"/>
        </w:rPr>
        <w:t>3.2弃渣场设置</w:t>
      </w:r>
      <w:bookmarkEnd w:id="37"/>
    </w:p>
    <w:p>
      <w:pPr>
        <w:pStyle w:val="440"/>
        <w:ind w:left="0" w:leftChars="0" w:firstLine="480" w:firstLineChars="200"/>
        <w:rPr>
          <w:rFonts w:hint="default" w:ascii="Times New Roman" w:hAnsi="Times New Roman" w:cs="Times New Roman"/>
        </w:rPr>
      </w:pPr>
      <w:bookmarkStart w:id="38" w:name="_Toc502049579"/>
      <w:r>
        <w:rPr>
          <w:rFonts w:hint="default" w:ascii="Times New Roman" w:hAnsi="Times New Roman" w:cs="Times New Roman"/>
        </w:rPr>
        <w:t xml:space="preserve">经土石方平衡分析，本工程总土石方开挖共 29086.2m </w:t>
      </w:r>
      <w:r>
        <w:rPr>
          <w:rFonts w:hint="default" w:ascii="Times New Roman" w:hAnsi="Times New Roman" w:cs="Times New Roman"/>
          <w:vertAlign w:val="superscript"/>
        </w:rPr>
        <w:t xml:space="preserve">3 </w:t>
      </w:r>
      <w:r>
        <w:rPr>
          <w:rFonts w:hint="default" w:ascii="Times New Roman" w:hAnsi="Times New Roman" w:cs="Times New Roman"/>
        </w:rPr>
        <w:t xml:space="preserve">(自然方，下同)，其中包括剥离表土 3675.0 m </w:t>
      </w:r>
      <w:r>
        <w:rPr>
          <w:rFonts w:hint="default" w:ascii="Times New Roman" w:hAnsi="Times New Roman" w:cs="Times New Roman"/>
          <w:vertAlign w:val="superscript"/>
        </w:rPr>
        <w:t>3</w:t>
      </w:r>
      <w:r>
        <w:rPr>
          <w:rFonts w:hint="default" w:ascii="Times New Roman" w:hAnsi="Times New Roman" w:cs="Times New Roman"/>
        </w:rPr>
        <w:t xml:space="preserve"> ，工程土石方回填及利用 6824.3m </w:t>
      </w:r>
      <w:r>
        <w:rPr>
          <w:rFonts w:hint="default" w:ascii="Times New Roman" w:hAnsi="Times New Roman" w:cs="Times New Roman"/>
          <w:vertAlign w:val="superscript"/>
        </w:rPr>
        <w:t>3</w:t>
      </w:r>
      <w:r>
        <w:rPr>
          <w:rFonts w:hint="default" w:ascii="Times New Roman" w:hAnsi="Times New Roman" w:cs="Times New Roman"/>
        </w:rPr>
        <w:t xml:space="preserve"> ，其中包括剥离表土</w:t>
      </w:r>
    </w:p>
    <w:p>
      <w:pPr>
        <w:pStyle w:val="440"/>
        <w:ind w:left="0" w:leftChars="0" w:firstLine="0" w:firstLineChars="0"/>
        <w:rPr>
          <w:rFonts w:hint="default" w:ascii="Times New Roman" w:hAnsi="Times New Roman" w:cs="Times New Roman"/>
        </w:rPr>
      </w:pPr>
      <w:r>
        <w:rPr>
          <w:rFonts w:hint="default" w:ascii="Times New Roman" w:hAnsi="Times New Roman" w:cs="Times New Roman"/>
        </w:rPr>
        <w:t xml:space="preserve">3675.0m </w:t>
      </w:r>
      <w:r>
        <w:rPr>
          <w:rFonts w:hint="default" w:ascii="Times New Roman" w:hAnsi="Times New Roman" w:cs="Times New Roman"/>
          <w:vertAlign w:val="superscript"/>
        </w:rPr>
        <w:t>3</w:t>
      </w:r>
      <w:r>
        <w:rPr>
          <w:rFonts w:hint="default" w:ascii="Times New Roman" w:hAnsi="Times New Roman" w:cs="Times New Roman"/>
        </w:rPr>
        <w:t xml:space="preserve"> ，弃方量（无剥离表土）为 22261.9 m </w:t>
      </w:r>
      <w:r>
        <w:rPr>
          <w:rFonts w:hint="default" w:ascii="Times New Roman" w:hAnsi="Times New Roman" w:cs="Times New Roman"/>
          <w:vertAlign w:val="superscript"/>
        </w:rPr>
        <w:t>3</w:t>
      </w:r>
      <w:r>
        <w:rPr>
          <w:rFonts w:hint="default" w:ascii="Times New Roman" w:hAnsi="Times New Roman" w:cs="Times New Roman"/>
        </w:rPr>
        <w:t xml:space="preserve"> 。本工程在实施过程中产生的临时未利用的土石方由四川中奇建筑工程有限公司运送至江阳区绕城环线规划绿地区进行处置。运输过程中要求采取对车辆运输的弃土进行遮盖，江阳区绕城环线规划绿地区的环境保护、水土保持、排水设施等一切与弃土场地相关的由四川中奇建筑工程有限公司负责，由江阳区水务局、江阳区城乡环境卫生管理局进行监管。</w:t>
      </w:r>
    </w:p>
    <w:p>
      <w:pPr>
        <w:pStyle w:val="3"/>
        <w:rPr>
          <w:rFonts w:hint="default" w:ascii="Times New Roman" w:hAnsi="Times New Roman" w:cs="Times New Roman"/>
        </w:rPr>
      </w:pPr>
      <w:r>
        <w:rPr>
          <w:rFonts w:hint="default" w:ascii="Times New Roman" w:hAnsi="Times New Roman" w:cs="Times New Roman"/>
        </w:rPr>
        <w:t>3.3取土场设置</w:t>
      </w:r>
      <w:bookmarkEnd w:id="38"/>
    </w:p>
    <w:p>
      <w:pPr>
        <w:pStyle w:val="440"/>
        <w:ind w:firstLine="480"/>
        <w:rPr>
          <w:rFonts w:hint="default" w:ascii="Times New Roman" w:hAnsi="Times New Roman" w:cs="Times New Roman"/>
        </w:rPr>
      </w:pPr>
      <w:r>
        <w:rPr>
          <w:rFonts w:hint="default" w:ascii="Times New Roman" w:hAnsi="Times New Roman" w:cs="Times New Roman"/>
        </w:rPr>
        <w:t>本项目所需土（石、料）主要包括绿化覆土、施工建设材料砂石料等，其中绿化覆土外购，施工所需砂石、料等，均就近在</w:t>
      </w:r>
      <w:r>
        <w:rPr>
          <w:rFonts w:hint="default" w:ascii="Times New Roman" w:hAnsi="Times New Roman" w:cs="Times New Roman"/>
          <w:lang w:val="en-US" w:eastAsia="zh-CN"/>
        </w:rPr>
        <w:t>泸州市</w:t>
      </w:r>
      <w:r>
        <w:rPr>
          <w:rFonts w:hint="default" w:ascii="Times New Roman" w:hAnsi="Times New Roman" w:cs="Times New Roman"/>
        </w:rPr>
        <w:t>周边购买，相应的水土流失防治责任由开采商负责，本项目不设置取土（石、料）场。</w:t>
      </w:r>
    </w:p>
    <w:p>
      <w:pPr>
        <w:pStyle w:val="3"/>
        <w:rPr>
          <w:rFonts w:hint="default" w:ascii="Times New Roman" w:hAnsi="Times New Roman" w:cs="Times New Roman"/>
        </w:rPr>
      </w:pPr>
      <w:bookmarkStart w:id="39" w:name="_Toc502049580"/>
      <w:r>
        <w:rPr>
          <w:rFonts w:hint="default" w:ascii="Times New Roman" w:hAnsi="Times New Roman" w:cs="Times New Roman"/>
        </w:rPr>
        <w:t>3.4水土保持措施总体布局</w:t>
      </w:r>
      <w:bookmarkEnd w:id="39"/>
    </w:p>
    <w:p>
      <w:pPr>
        <w:pStyle w:val="4"/>
        <w:rPr>
          <w:rFonts w:hint="default" w:ascii="Times New Roman" w:hAnsi="Times New Roman" w:cs="Times New Roman"/>
        </w:rPr>
      </w:pPr>
      <w:bookmarkStart w:id="40" w:name="_Toc27117"/>
      <w:bookmarkStart w:id="41" w:name="_Toc496171433"/>
      <w:bookmarkStart w:id="42" w:name="_Toc418257510"/>
      <w:r>
        <w:rPr>
          <w:rFonts w:hint="default" w:ascii="Times New Roman" w:hAnsi="Times New Roman" w:cs="Times New Roman"/>
        </w:rPr>
        <w:t>3.4.1总体布置的原则</w:t>
      </w:r>
      <w:bookmarkEnd w:id="40"/>
      <w:bookmarkEnd w:id="41"/>
      <w:bookmarkEnd w:id="42"/>
    </w:p>
    <w:p>
      <w:pPr>
        <w:pStyle w:val="440"/>
        <w:ind w:firstLine="480"/>
        <w:rPr>
          <w:rFonts w:hint="default" w:ascii="Times New Roman" w:hAnsi="Times New Roman" w:cs="Times New Roman"/>
          <w:lang w:val="zh-CN"/>
        </w:rPr>
      </w:pPr>
      <w:bookmarkStart w:id="43" w:name="_Toc24582"/>
      <w:bookmarkStart w:id="44" w:name="_Toc418257511"/>
      <w:r>
        <w:rPr>
          <w:rFonts w:hint="default" w:ascii="Times New Roman" w:hAnsi="Times New Roman" w:cs="Times New Roman"/>
          <w:lang w:val="zh-CN"/>
        </w:rPr>
        <w:t>措施布局的原则是根据工程自然环境状况，结合项目开发建设特点，有针对性的采取工程、植物和临时措施，预防和防治因工程建设和生产过程中诱发的新增水土流失，同时对工程占地范围内原有水土流失进行治理，达到控制水土流失、美化工程区环境的目的。按照水土保持相关规程规范的要求和工程区生态环境建设的总体部署，布置各项水土保持防治措施，并坚持以下原则：</w:t>
      </w:r>
    </w:p>
    <w:p>
      <w:pPr>
        <w:pStyle w:val="440"/>
        <w:ind w:firstLine="480"/>
        <w:rPr>
          <w:rFonts w:hint="default" w:ascii="Times New Roman" w:hAnsi="Times New Roman" w:cs="Times New Roman"/>
          <w:lang w:val="zh-CN"/>
        </w:rPr>
      </w:pPr>
      <w:r>
        <w:rPr>
          <w:rFonts w:hint="default" w:ascii="Times New Roman" w:hAnsi="Times New Roman" w:cs="Times New Roman"/>
          <w:lang w:val="zh-CN"/>
        </w:rPr>
        <w:t>（1）因地制宜除害兴利和综合治理的原则。</w:t>
      </w:r>
    </w:p>
    <w:p>
      <w:pPr>
        <w:pStyle w:val="440"/>
        <w:ind w:firstLine="480"/>
        <w:rPr>
          <w:rFonts w:hint="default" w:ascii="Times New Roman" w:hAnsi="Times New Roman" w:cs="Times New Roman"/>
          <w:lang w:val="zh-CN"/>
        </w:rPr>
      </w:pPr>
      <w:r>
        <w:rPr>
          <w:rFonts w:hint="default" w:ascii="Times New Roman" w:hAnsi="Times New Roman" w:cs="Times New Roman"/>
          <w:lang w:val="zh-CN"/>
        </w:rPr>
        <w:t>针对项目工程特征和工程水土流失特点，因地制宜，合理配置水土保持措施，防治水土流失。在布设水土保持措施时，应先采取临时性水土保持措施，防止工程建设过程中的水土流失，建成一套完整的水土流失防治体系。</w:t>
      </w:r>
    </w:p>
    <w:p>
      <w:pPr>
        <w:pStyle w:val="440"/>
        <w:ind w:firstLine="480"/>
        <w:rPr>
          <w:rFonts w:hint="default" w:ascii="Times New Roman" w:hAnsi="Times New Roman" w:cs="Times New Roman"/>
          <w:lang w:val="zh-CN"/>
        </w:rPr>
      </w:pPr>
      <w:r>
        <w:rPr>
          <w:rFonts w:hint="default" w:ascii="Times New Roman" w:hAnsi="Times New Roman" w:cs="Times New Roman"/>
          <w:lang w:val="zh-CN"/>
        </w:rPr>
        <w:t>（2）生态优先的原则。</w:t>
      </w:r>
    </w:p>
    <w:p>
      <w:pPr>
        <w:pStyle w:val="440"/>
        <w:ind w:firstLine="480"/>
        <w:rPr>
          <w:rFonts w:hint="default" w:ascii="Times New Roman" w:hAnsi="Times New Roman" w:cs="Times New Roman"/>
          <w:lang w:val="zh-CN"/>
        </w:rPr>
      </w:pPr>
      <w:r>
        <w:rPr>
          <w:rFonts w:hint="default" w:ascii="Times New Roman" w:hAnsi="Times New Roman" w:cs="Times New Roman"/>
          <w:lang w:val="zh-CN"/>
        </w:rPr>
        <w:t>项目工程水土保持措施除布设工程措施以外，同时采取植物措施，并与周边生态环境相协调。项目建设对环境产生的种种破坏，应积极采取相应措施促使环境的迅速恢复。</w:t>
      </w:r>
    </w:p>
    <w:p>
      <w:pPr>
        <w:pStyle w:val="440"/>
        <w:ind w:firstLine="480"/>
        <w:rPr>
          <w:rFonts w:hint="default" w:ascii="Times New Roman" w:hAnsi="Times New Roman" w:cs="Times New Roman"/>
          <w:lang w:val="zh-CN"/>
        </w:rPr>
      </w:pPr>
      <w:r>
        <w:rPr>
          <w:rFonts w:hint="default" w:ascii="Times New Roman" w:hAnsi="Times New Roman" w:cs="Times New Roman"/>
          <w:lang w:val="zh-CN"/>
        </w:rPr>
        <w:t>（3）安全、经济与整体性原则。</w:t>
      </w:r>
    </w:p>
    <w:p>
      <w:pPr>
        <w:pStyle w:val="440"/>
        <w:ind w:firstLine="480"/>
        <w:rPr>
          <w:rFonts w:hint="default" w:ascii="Times New Roman" w:hAnsi="Times New Roman" w:cs="Times New Roman"/>
          <w:lang w:val="zh-CN"/>
        </w:rPr>
      </w:pPr>
      <w:r>
        <w:rPr>
          <w:rFonts w:hint="default" w:ascii="Times New Roman" w:hAnsi="Times New Roman" w:cs="Times New Roman"/>
          <w:lang w:val="zh-CN"/>
        </w:rPr>
        <w:t>水土保持措施的布设要以防治工程水土流失为主，以保护主体工程安全、稳定为目标，全面考虑生态环境建设、防洪安全及矿井建设等，构筑成一个整体的综合防治系统。</w:t>
      </w:r>
    </w:p>
    <w:p>
      <w:pPr>
        <w:pStyle w:val="440"/>
        <w:ind w:firstLine="480"/>
        <w:rPr>
          <w:rFonts w:hint="default" w:ascii="Times New Roman" w:hAnsi="Times New Roman" w:cs="Times New Roman"/>
          <w:lang w:val="zh-CN"/>
        </w:rPr>
      </w:pPr>
      <w:r>
        <w:rPr>
          <w:rFonts w:hint="default" w:ascii="Times New Roman" w:hAnsi="Times New Roman" w:cs="Times New Roman"/>
          <w:lang w:val="zh-CN"/>
        </w:rPr>
        <w:t>（4）“三同时”原则</w:t>
      </w:r>
    </w:p>
    <w:p>
      <w:pPr>
        <w:pStyle w:val="440"/>
        <w:ind w:firstLine="480"/>
        <w:rPr>
          <w:rFonts w:hint="default" w:ascii="Times New Roman" w:hAnsi="Times New Roman" w:cs="Times New Roman"/>
          <w:lang w:val="zh-CN"/>
        </w:rPr>
      </w:pPr>
      <w:r>
        <w:rPr>
          <w:rFonts w:hint="default" w:ascii="Times New Roman" w:hAnsi="Times New Roman" w:cs="Times New Roman"/>
          <w:lang w:val="zh-CN"/>
        </w:rPr>
        <w:t>坚持水土保持工程与主体工程“同时设计、同时施工、同时投产使用”的“三同时”原则。</w:t>
      </w:r>
    </w:p>
    <w:p>
      <w:pPr>
        <w:pStyle w:val="4"/>
        <w:rPr>
          <w:rFonts w:hint="default" w:ascii="Times New Roman" w:hAnsi="Times New Roman" w:cs="Times New Roman"/>
        </w:rPr>
      </w:pPr>
      <w:bookmarkStart w:id="45" w:name="_Toc496171434"/>
      <w:r>
        <w:rPr>
          <w:rFonts w:hint="default" w:ascii="Times New Roman" w:hAnsi="Times New Roman" w:cs="Times New Roman"/>
        </w:rPr>
        <w:t>3.4.2措施总体布局</w:t>
      </w:r>
      <w:bookmarkEnd w:id="43"/>
      <w:bookmarkEnd w:id="44"/>
      <w:bookmarkEnd w:id="45"/>
    </w:p>
    <w:p>
      <w:pPr>
        <w:pStyle w:val="440"/>
        <w:ind w:firstLine="480"/>
        <w:rPr>
          <w:rFonts w:hint="default" w:ascii="Times New Roman" w:hAnsi="Times New Roman" w:cs="Times New Roman"/>
        </w:rPr>
      </w:pPr>
      <w:r>
        <w:rPr>
          <w:rFonts w:hint="default" w:ascii="Times New Roman" w:hAnsi="Times New Roman" w:cs="Times New Roman"/>
        </w:rPr>
        <w:t>根据本项目特点和防治措施布局原则，提出具体的对策和措施，本次验收范围水土保持防治措施体系由</w:t>
      </w:r>
      <w:r>
        <w:rPr>
          <w:rFonts w:hint="default" w:ascii="Times New Roman" w:hAnsi="Times New Roman" w:cs="Times New Roman"/>
          <w:lang w:val="en-US" w:eastAsia="zh-CN"/>
        </w:rPr>
        <w:t>主体建筑防治区、道路广场防治区及景观绿化防治区</w:t>
      </w:r>
      <w:r>
        <w:rPr>
          <w:rFonts w:hint="default" w:ascii="Times New Roman" w:hAnsi="Times New Roman" w:cs="Times New Roman"/>
        </w:rPr>
        <w:t>共</w:t>
      </w:r>
      <w:r>
        <w:rPr>
          <w:rFonts w:hint="default" w:ascii="Times New Roman" w:hAnsi="Times New Roman" w:cs="Times New Roman"/>
          <w:lang w:val="en-US" w:eastAsia="zh-CN"/>
        </w:rPr>
        <w:t>三个</w:t>
      </w:r>
      <w:r>
        <w:rPr>
          <w:rFonts w:hint="default" w:ascii="Times New Roman" w:hAnsi="Times New Roman" w:cs="Times New Roman"/>
        </w:rPr>
        <w:t>防治大区构成。根据方案水土流失预测结果，结合主体工程已有的具有水土保持功能的工程措施等内容，建立以水土保持工程措施和植物措施相结合的生态恢复体系，最大限度地减少水土流失量。</w:t>
      </w:r>
    </w:p>
    <w:p>
      <w:pPr>
        <w:pStyle w:val="440"/>
        <w:ind w:firstLine="480"/>
        <w:rPr>
          <w:rFonts w:hint="default" w:ascii="Times New Roman" w:hAnsi="Times New Roman" w:cs="Times New Roman"/>
        </w:rPr>
      </w:pPr>
      <w:r>
        <w:rPr>
          <w:rFonts w:hint="default" w:ascii="Times New Roman" w:hAnsi="Times New Roman" w:cs="Times New Roman"/>
        </w:rPr>
        <w:t>本项目水土流失治理措施体系由工程措施和植物措施等构成。项目水土保持方案将对主体工程设计中未考虑的措施进行补充和完善。通过点、线、面防治措施有机结合、相互作用，形成立体的综合防治体系，达到保护地表，改善生态环境，防止水土流失的目的，实现水土流失从被动控制到综合开发治理的转变。水土流失防治措施体系详见表3-3。</w:t>
      </w:r>
    </w:p>
    <w:p>
      <w:pPr>
        <w:pStyle w:val="32"/>
        <w:ind w:firstLine="480"/>
        <w:rPr>
          <w:rFonts w:hint="default" w:ascii="Times New Roman" w:hAnsi="Times New Roman" w:cs="Times New Roman"/>
        </w:rPr>
      </w:pPr>
      <w:r>
        <w:rPr>
          <w:rFonts w:hint="default" w:ascii="Times New Roman" w:hAnsi="Times New Roman" w:cs="Times New Roman"/>
        </w:rPr>
        <w:t>3-3  工程验收范围水土流失防治措施总体布局表</w:t>
      </w:r>
    </w:p>
    <w:tbl>
      <w:tblPr>
        <w:tblStyle w:val="46"/>
        <w:tblW w:w="8981"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457"/>
        <w:gridCol w:w="3562"/>
        <w:gridCol w:w="1441"/>
        <w:gridCol w:w="152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blHeader/>
        </w:trPr>
        <w:tc>
          <w:tcPr>
            <w:tcW w:w="2457" w:type="dxa"/>
            <w:vAlign w:val="center"/>
          </w:tcPr>
          <w:p>
            <w:pPr>
              <w:pStyle w:val="158"/>
              <w:rPr>
                <w:rFonts w:hint="default" w:ascii="Times New Roman" w:hAnsi="Times New Roman" w:cs="Times New Roman"/>
                <w:lang w:val="zh-CN" w:eastAsia="zh-CN"/>
              </w:rPr>
            </w:pPr>
            <w:r>
              <w:rPr>
                <w:rFonts w:hint="default" w:ascii="Times New Roman" w:hAnsi="Times New Roman" w:cs="Times New Roman"/>
                <w:lang w:val="zh-CN" w:eastAsia="zh-CN"/>
              </w:rPr>
              <w:t>防治分区</w:t>
            </w:r>
          </w:p>
        </w:tc>
        <w:tc>
          <w:tcPr>
            <w:tcW w:w="3562" w:type="dxa"/>
            <w:vAlign w:val="center"/>
          </w:tcPr>
          <w:p>
            <w:pPr>
              <w:pStyle w:val="158"/>
              <w:rPr>
                <w:rFonts w:hint="default" w:ascii="Times New Roman" w:hAnsi="Times New Roman" w:cs="Times New Roman"/>
                <w:lang w:val="zh-CN" w:eastAsia="zh-CN"/>
              </w:rPr>
            </w:pPr>
            <w:r>
              <w:rPr>
                <w:rFonts w:hint="default" w:ascii="Times New Roman" w:hAnsi="Times New Roman" w:cs="Times New Roman"/>
                <w:lang w:val="zh-CN" w:eastAsia="zh-CN"/>
              </w:rPr>
              <w:t>水土保持措施</w:t>
            </w:r>
          </w:p>
        </w:tc>
        <w:tc>
          <w:tcPr>
            <w:tcW w:w="1441" w:type="dxa"/>
            <w:vAlign w:val="center"/>
          </w:tcPr>
          <w:p>
            <w:pPr>
              <w:pStyle w:val="158"/>
              <w:rPr>
                <w:rFonts w:hint="default" w:ascii="Times New Roman" w:hAnsi="Times New Roman" w:cs="Times New Roman"/>
                <w:lang w:val="zh-CN" w:eastAsia="zh-CN"/>
              </w:rPr>
            </w:pPr>
            <w:r>
              <w:rPr>
                <w:rFonts w:hint="default" w:ascii="Times New Roman" w:hAnsi="Times New Roman" w:cs="Times New Roman"/>
                <w:lang w:val="zh-CN" w:eastAsia="zh-CN"/>
              </w:rPr>
              <w:t>措施分类</w:t>
            </w:r>
          </w:p>
        </w:tc>
        <w:tc>
          <w:tcPr>
            <w:tcW w:w="1521" w:type="dxa"/>
            <w:vAlign w:val="center"/>
          </w:tcPr>
          <w:p>
            <w:pPr>
              <w:pStyle w:val="158"/>
              <w:rPr>
                <w:rFonts w:hint="default" w:ascii="Times New Roman" w:hAnsi="Times New Roman" w:cs="Times New Roman"/>
                <w:lang w:val="zh-CN" w:eastAsia="zh-CN"/>
              </w:rPr>
            </w:pPr>
            <w:r>
              <w:rPr>
                <w:rFonts w:hint="default" w:ascii="Times New Roman" w:hAnsi="Times New Roman" w:cs="Times New Roman"/>
                <w:lang w:val="zh-CN" w:eastAsia="zh-CN"/>
              </w:rPr>
              <w:t>资金</w:t>
            </w:r>
            <w:r>
              <w:rPr>
                <w:rFonts w:hint="default" w:ascii="Times New Roman" w:hAnsi="Times New Roman" w:cs="Times New Roman"/>
                <w:lang w:val="zh-CN"/>
              </w:rPr>
              <w:t>列支</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trPr>
        <w:tc>
          <w:tcPr>
            <w:tcW w:w="2457" w:type="dxa"/>
            <w:vMerge w:val="restart"/>
            <w:vAlign w:val="center"/>
          </w:tcPr>
          <w:p>
            <w:pPr>
              <w:pStyle w:val="158"/>
              <w:rPr>
                <w:rFonts w:hint="default" w:ascii="Times New Roman" w:hAnsi="Times New Roman" w:eastAsia="宋体" w:cs="Times New Roman"/>
                <w:lang w:val="zh-CN" w:eastAsia="zh-CN"/>
              </w:rPr>
            </w:pPr>
            <w:r>
              <w:rPr>
                <w:rFonts w:hint="default" w:ascii="Times New Roman" w:hAnsi="Times New Roman" w:cs="Times New Roman"/>
                <w:lang w:val="en-US" w:eastAsia="zh-CN"/>
              </w:rPr>
              <w:t>主体建筑区</w:t>
            </w:r>
          </w:p>
        </w:tc>
        <w:tc>
          <w:tcPr>
            <w:tcW w:w="3562" w:type="dxa"/>
            <w:vAlign w:val="center"/>
          </w:tcPr>
          <w:p>
            <w:pPr>
              <w:pStyle w:val="158"/>
              <w:rPr>
                <w:rFonts w:hint="default" w:ascii="Times New Roman" w:hAnsi="Times New Roman" w:cs="Times New Roman"/>
                <w:lang w:val="zh-CN"/>
              </w:rPr>
            </w:pPr>
            <w:r>
              <w:rPr>
                <w:rFonts w:hint="default" w:ascii="Times New Roman" w:hAnsi="Times New Roman" w:cs="Times New Roman"/>
                <w:kern w:val="0"/>
                <w:sz w:val="21"/>
                <w:szCs w:val="21"/>
              </w:rPr>
              <w:t>雨水管网</w:t>
            </w:r>
          </w:p>
        </w:tc>
        <w:tc>
          <w:tcPr>
            <w:tcW w:w="1441" w:type="dxa"/>
            <w:vAlign w:val="center"/>
          </w:tcPr>
          <w:p>
            <w:pPr>
              <w:pStyle w:val="158"/>
              <w:rPr>
                <w:rFonts w:hint="default" w:ascii="Times New Roman" w:hAnsi="Times New Roman" w:cs="Times New Roman"/>
                <w:lang w:val="zh-CN" w:eastAsia="zh-CN"/>
              </w:rPr>
            </w:pPr>
            <w:r>
              <w:rPr>
                <w:rFonts w:hint="default" w:ascii="Times New Roman" w:hAnsi="Times New Roman" w:cs="Times New Roman"/>
                <w:lang w:val="zh-CN"/>
              </w:rPr>
              <w:t>工程</w:t>
            </w:r>
            <w:r>
              <w:rPr>
                <w:rFonts w:hint="default" w:ascii="Times New Roman" w:hAnsi="Times New Roman" w:cs="Times New Roman"/>
                <w:lang w:val="zh-CN" w:eastAsia="zh-CN"/>
              </w:rPr>
              <w:t>措施</w:t>
            </w:r>
          </w:p>
        </w:tc>
        <w:tc>
          <w:tcPr>
            <w:tcW w:w="1521" w:type="dxa"/>
            <w:vAlign w:val="center"/>
          </w:tcPr>
          <w:p>
            <w:pPr>
              <w:pStyle w:val="158"/>
              <w:rPr>
                <w:rFonts w:hint="default" w:ascii="Times New Roman" w:hAnsi="Times New Roman" w:cs="Times New Roman"/>
                <w:lang w:val="zh-CN" w:eastAsia="zh-CN"/>
              </w:rPr>
            </w:pPr>
            <w:r>
              <w:rPr>
                <w:rFonts w:hint="default" w:ascii="Times New Roman" w:hAnsi="Times New Roman" w:cs="Times New Roman"/>
                <w:lang w:val="zh-CN" w:eastAsia="zh-CN"/>
              </w:rPr>
              <w:t>主体工程</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trPr>
        <w:tc>
          <w:tcPr>
            <w:tcW w:w="2457" w:type="dxa"/>
            <w:vMerge w:val="continue"/>
            <w:vAlign w:val="center"/>
          </w:tcPr>
          <w:p>
            <w:pPr>
              <w:pStyle w:val="158"/>
              <w:rPr>
                <w:rFonts w:hint="default" w:ascii="Times New Roman" w:hAnsi="Times New Roman" w:cs="Times New Roman"/>
                <w:lang w:val="zh-CN" w:eastAsia="zh-CN"/>
              </w:rPr>
            </w:pPr>
          </w:p>
        </w:tc>
        <w:tc>
          <w:tcPr>
            <w:tcW w:w="3562" w:type="dxa"/>
            <w:vAlign w:val="center"/>
          </w:tcPr>
          <w:p>
            <w:pPr>
              <w:pStyle w:val="158"/>
              <w:rPr>
                <w:rFonts w:hint="default" w:ascii="Times New Roman" w:hAnsi="Times New Roman" w:eastAsia="宋体" w:cs="Times New Roman"/>
                <w:lang w:val="zh-CN" w:eastAsia="zh-CN"/>
              </w:rPr>
            </w:pPr>
            <w:r>
              <w:rPr>
                <w:rFonts w:hint="default" w:ascii="Times New Roman" w:hAnsi="Times New Roman" w:cs="Times New Roman"/>
                <w:kern w:val="0"/>
                <w:sz w:val="21"/>
                <w:szCs w:val="21"/>
                <w:lang w:val="en-US" w:eastAsia="zh-CN"/>
              </w:rPr>
              <w:t>临时遮盖</w:t>
            </w:r>
          </w:p>
        </w:tc>
        <w:tc>
          <w:tcPr>
            <w:tcW w:w="1441" w:type="dxa"/>
            <w:vAlign w:val="center"/>
          </w:tcPr>
          <w:p>
            <w:pPr>
              <w:pStyle w:val="158"/>
              <w:rPr>
                <w:rFonts w:hint="default" w:ascii="Times New Roman" w:hAnsi="Times New Roman" w:eastAsia="宋体" w:cs="Times New Roman"/>
                <w:lang w:val="en-US" w:eastAsia="zh-CN"/>
              </w:rPr>
            </w:pPr>
            <w:r>
              <w:rPr>
                <w:rFonts w:hint="default" w:ascii="Times New Roman" w:hAnsi="Times New Roman" w:cs="Times New Roman"/>
                <w:lang w:val="en-US" w:eastAsia="zh-CN"/>
              </w:rPr>
              <w:t>临时措施</w:t>
            </w:r>
          </w:p>
        </w:tc>
        <w:tc>
          <w:tcPr>
            <w:tcW w:w="1521" w:type="dxa"/>
            <w:vAlign w:val="center"/>
          </w:tcPr>
          <w:p>
            <w:pPr>
              <w:pStyle w:val="158"/>
              <w:rPr>
                <w:rFonts w:hint="default" w:ascii="Times New Roman" w:hAnsi="Times New Roman" w:cs="Times New Roman"/>
                <w:lang w:val="zh-CN" w:eastAsia="zh-CN"/>
              </w:rPr>
            </w:pPr>
            <w:r>
              <w:rPr>
                <w:rFonts w:hint="default" w:ascii="Times New Roman" w:hAnsi="Times New Roman" w:cs="Times New Roman"/>
                <w:lang w:val="zh-CN"/>
              </w:rPr>
              <w:t>新增</w:t>
            </w:r>
            <w:r>
              <w:rPr>
                <w:rFonts w:hint="default" w:ascii="Times New Roman" w:hAnsi="Times New Roman" w:cs="Times New Roman"/>
                <w:lang w:val="zh-CN" w:eastAsia="zh-CN"/>
              </w:rPr>
              <w:t>水保工程</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trPr>
        <w:tc>
          <w:tcPr>
            <w:tcW w:w="2457" w:type="dxa"/>
            <w:vMerge w:val="continue"/>
            <w:vAlign w:val="center"/>
          </w:tcPr>
          <w:p>
            <w:pPr>
              <w:pStyle w:val="158"/>
              <w:rPr>
                <w:rFonts w:hint="default" w:ascii="Times New Roman" w:hAnsi="Times New Roman" w:cs="Times New Roman"/>
                <w:lang w:val="zh-CN" w:eastAsia="zh-CN"/>
              </w:rPr>
            </w:pPr>
          </w:p>
        </w:tc>
        <w:tc>
          <w:tcPr>
            <w:tcW w:w="3562" w:type="dxa"/>
            <w:vAlign w:val="center"/>
          </w:tcPr>
          <w:p>
            <w:pPr>
              <w:pStyle w:val="158"/>
              <w:rPr>
                <w:rFonts w:hint="default" w:ascii="Times New Roman" w:hAnsi="Times New Roman" w:cs="Times New Roman"/>
                <w:lang w:val="zh-CN"/>
              </w:rPr>
            </w:pPr>
            <w:r>
              <w:rPr>
                <w:rFonts w:hint="default" w:ascii="Times New Roman" w:hAnsi="Times New Roman" w:cs="Times New Roman"/>
                <w:kern w:val="0"/>
                <w:sz w:val="21"/>
                <w:szCs w:val="21"/>
              </w:rPr>
              <w:t>排水沟</w:t>
            </w:r>
            <w:r>
              <w:rPr>
                <w:rFonts w:hint="default" w:ascii="Times New Roman" w:hAnsi="Times New Roman" w:cs="Times New Roman"/>
                <w:kern w:val="0"/>
                <w:sz w:val="21"/>
                <w:szCs w:val="21"/>
                <w:lang w:eastAsia="zh-CN"/>
              </w:rPr>
              <w:t>、</w:t>
            </w:r>
            <w:r>
              <w:rPr>
                <w:rFonts w:hint="default" w:ascii="Times New Roman" w:hAnsi="Times New Roman" w:cs="Times New Roman"/>
                <w:kern w:val="0"/>
                <w:sz w:val="21"/>
                <w:szCs w:val="21"/>
              </w:rPr>
              <w:t>沉砂池</w:t>
            </w:r>
          </w:p>
        </w:tc>
        <w:tc>
          <w:tcPr>
            <w:tcW w:w="1441" w:type="dxa"/>
            <w:vAlign w:val="center"/>
          </w:tcPr>
          <w:p>
            <w:pPr>
              <w:pStyle w:val="158"/>
              <w:rPr>
                <w:rFonts w:hint="default" w:ascii="Times New Roman" w:hAnsi="Times New Roman" w:eastAsia="宋体" w:cs="Times New Roman"/>
                <w:lang w:val="zh-CN" w:eastAsia="zh-CN"/>
              </w:rPr>
            </w:pPr>
            <w:r>
              <w:rPr>
                <w:rFonts w:hint="default" w:ascii="Times New Roman" w:hAnsi="Times New Roman" w:cs="Times New Roman"/>
                <w:lang w:val="en-US" w:eastAsia="zh-CN"/>
              </w:rPr>
              <w:t>临时措施</w:t>
            </w:r>
          </w:p>
        </w:tc>
        <w:tc>
          <w:tcPr>
            <w:tcW w:w="1521" w:type="dxa"/>
            <w:vAlign w:val="center"/>
          </w:tcPr>
          <w:p>
            <w:pPr>
              <w:pStyle w:val="158"/>
              <w:rPr>
                <w:rFonts w:hint="default" w:ascii="Times New Roman" w:hAnsi="Times New Roman" w:eastAsia="宋体" w:cs="Times New Roman"/>
                <w:lang w:val="zh-CN" w:eastAsia="zh-CN"/>
              </w:rPr>
            </w:pPr>
            <w:r>
              <w:rPr>
                <w:rFonts w:hint="default" w:ascii="Times New Roman" w:hAnsi="Times New Roman" w:cs="Times New Roman"/>
                <w:lang w:val="zh-CN"/>
              </w:rPr>
              <w:t>新增</w:t>
            </w:r>
            <w:r>
              <w:rPr>
                <w:rFonts w:hint="default" w:ascii="Times New Roman" w:hAnsi="Times New Roman" w:cs="Times New Roman"/>
                <w:lang w:val="zh-CN" w:eastAsia="zh-CN"/>
              </w:rPr>
              <w:t>水保工程</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trPr>
        <w:tc>
          <w:tcPr>
            <w:tcW w:w="2457" w:type="dxa"/>
            <w:vMerge w:val="continue"/>
            <w:vAlign w:val="center"/>
          </w:tcPr>
          <w:p>
            <w:pPr>
              <w:pStyle w:val="158"/>
              <w:rPr>
                <w:rFonts w:hint="default" w:ascii="Times New Roman" w:hAnsi="Times New Roman" w:cs="Times New Roman"/>
                <w:lang w:val="zh-CN" w:eastAsia="zh-CN"/>
              </w:rPr>
            </w:pPr>
          </w:p>
        </w:tc>
        <w:tc>
          <w:tcPr>
            <w:tcW w:w="3562" w:type="dxa"/>
            <w:vAlign w:val="center"/>
          </w:tcPr>
          <w:p>
            <w:pPr>
              <w:pStyle w:val="158"/>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洗车槽</w:t>
            </w:r>
          </w:p>
        </w:tc>
        <w:tc>
          <w:tcPr>
            <w:tcW w:w="1441" w:type="dxa"/>
            <w:vAlign w:val="center"/>
          </w:tcPr>
          <w:p>
            <w:pPr>
              <w:pStyle w:val="158"/>
              <w:rPr>
                <w:rFonts w:hint="default" w:ascii="Times New Roman" w:hAnsi="Times New Roman" w:cs="Times New Roman"/>
                <w:lang w:val="en-US" w:eastAsia="zh-CN"/>
              </w:rPr>
            </w:pPr>
            <w:r>
              <w:rPr>
                <w:rFonts w:hint="default" w:ascii="Times New Roman" w:hAnsi="Times New Roman" w:cs="Times New Roman"/>
                <w:lang w:val="en-US" w:eastAsia="zh-CN"/>
              </w:rPr>
              <w:t>临时措施</w:t>
            </w:r>
          </w:p>
        </w:tc>
        <w:tc>
          <w:tcPr>
            <w:tcW w:w="1521" w:type="dxa"/>
            <w:vAlign w:val="center"/>
          </w:tcPr>
          <w:p>
            <w:pPr>
              <w:pStyle w:val="158"/>
              <w:rPr>
                <w:rFonts w:hint="default" w:ascii="Times New Roman" w:hAnsi="Times New Roman" w:cs="Times New Roman"/>
                <w:lang w:val="en-US" w:eastAsia="zh-CN"/>
              </w:rPr>
            </w:pPr>
            <w:r>
              <w:rPr>
                <w:rFonts w:hint="default" w:ascii="Times New Roman" w:hAnsi="Times New Roman" w:cs="Times New Roman"/>
                <w:lang w:val="zh-CN"/>
              </w:rPr>
              <w:t>新增</w:t>
            </w:r>
            <w:r>
              <w:rPr>
                <w:rFonts w:hint="default" w:ascii="Times New Roman" w:hAnsi="Times New Roman" w:cs="Times New Roman"/>
                <w:lang w:val="zh-CN" w:eastAsia="zh-CN"/>
              </w:rPr>
              <w:t>水保工程</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2" w:hRule="atLeast"/>
        </w:trPr>
        <w:tc>
          <w:tcPr>
            <w:tcW w:w="2457" w:type="dxa"/>
            <w:vMerge w:val="restart"/>
            <w:vAlign w:val="center"/>
          </w:tcPr>
          <w:p>
            <w:pPr>
              <w:pStyle w:val="158"/>
              <w:rPr>
                <w:rFonts w:hint="default" w:ascii="Times New Roman" w:hAnsi="Times New Roman" w:cs="Times New Roman"/>
                <w:lang w:val="en-US" w:eastAsia="zh-CN"/>
              </w:rPr>
            </w:pPr>
            <w:r>
              <w:rPr>
                <w:rFonts w:hint="default" w:ascii="Times New Roman" w:hAnsi="Times New Roman" w:cs="Times New Roman"/>
                <w:lang w:val="en-US" w:eastAsia="zh-CN"/>
              </w:rPr>
              <w:t>道路广场区</w:t>
            </w:r>
          </w:p>
        </w:tc>
        <w:tc>
          <w:tcPr>
            <w:tcW w:w="3562" w:type="dxa"/>
            <w:vAlign w:val="center"/>
          </w:tcPr>
          <w:p>
            <w:pPr>
              <w:pStyle w:val="158"/>
              <w:rPr>
                <w:rFonts w:hint="default" w:ascii="Times New Roman" w:hAnsi="Times New Roman" w:cs="Times New Roman"/>
                <w:lang w:val="zh-CN" w:eastAsia="zh-CN"/>
              </w:rPr>
            </w:pPr>
            <w:r>
              <w:rPr>
                <w:rFonts w:hint="default" w:ascii="Times New Roman" w:hAnsi="Times New Roman" w:cs="Times New Roman"/>
                <w:kern w:val="0"/>
                <w:sz w:val="21"/>
                <w:szCs w:val="21"/>
              </w:rPr>
              <w:t>雨水管网</w:t>
            </w:r>
          </w:p>
        </w:tc>
        <w:tc>
          <w:tcPr>
            <w:tcW w:w="1441" w:type="dxa"/>
            <w:vAlign w:val="center"/>
          </w:tcPr>
          <w:p>
            <w:pPr>
              <w:pStyle w:val="158"/>
              <w:rPr>
                <w:rFonts w:hint="default" w:ascii="Times New Roman" w:hAnsi="Times New Roman" w:cs="Times New Roman"/>
                <w:lang w:val="zh-CN" w:eastAsia="zh-CN"/>
              </w:rPr>
            </w:pPr>
            <w:r>
              <w:rPr>
                <w:rFonts w:hint="default" w:ascii="Times New Roman" w:hAnsi="Times New Roman" w:cs="Times New Roman"/>
                <w:lang w:val="zh-CN"/>
              </w:rPr>
              <w:t>工程</w:t>
            </w:r>
            <w:r>
              <w:rPr>
                <w:rFonts w:hint="default" w:ascii="Times New Roman" w:hAnsi="Times New Roman" w:cs="Times New Roman"/>
                <w:lang w:val="zh-CN" w:eastAsia="zh-CN"/>
              </w:rPr>
              <w:t>措施</w:t>
            </w:r>
          </w:p>
        </w:tc>
        <w:tc>
          <w:tcPr>
            <w:tcW w:w="1521" w:type="dxa"/>
            <w:vAlign w:val="center"/>
          </w:tcPr>
          <w:p>
            <w:pPr>
              <w:pStyle w:val="158"/>
              <w:rPr>
                <w:rFonts w:hint="default" w:ascii="Times New Roman" w:hAnsi="Times New Roman" w:cs="Times New Roman"/>
                <w:lang w:val="zh-CN"/>
              </w:rPr>
            </w:pPr>
            <w:r>
              <w:rPr>
                <w:rFonts w:hint="default" w:ascii="Times New Roman" w:hAnsi="Times New Roman" w:cs="Times New Roman"/>
                <w:lang w:val="zh-CN" w:eastAsia="zh-CN"/>
              </w:rPr>
              <w:t>主体工程</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2" w:hRule="atLeast"/>
        </w:trPr>
        <w:tc>
          <w:tcPr>
            <w:tcW w:w="2457" w:type="dxa"/>
            <w:vMerge w:val="continue"/>
            <w:vAlign w:val="center"/>
          </w:tcPr>
          <w:p>
            <w:pPr>
              <w:pStyle w:val="158"/>
              <w:rPr>
                <w:rFonts w:hint="default" w:ascii="Times New Roman" w:hAnsi="Times New Roman" w:cs="Times New Roman"/>
                <w:lang w:val="en-US" w:eastAsia="zh-CN"/>
              </w:rPr>
            </w:pPr>
          </w:p>
        </w:tc>
        <w:tc>
          <w:tcPr>
            <w:tcW w:w="3562" w:type="dxa"/>
            <w:vAlign w:val="center"/>
          </w:tcPr>
          <w:p>
            <w:pPr>
              <w:pStyle w:val="158"/>
              <w:rPr>
                <w:rFonts w:hint="default" w:ascii="Times New Roman" w:hAnsi="Times New Roman" w:cs="Times New Roman"/>
                <w:kern w:val="0"/>
                <w:sz w:val="21"/>
                <w:szCs w:val="21"/>
              </w:rPr>
            </w:pPr>
            <w:r>
              <w:rPr>
                <w:rFonts w:hint="default" w:ascii="Times New Roman" w:hAnsi="Times New Roman" w:cs="Times New Roman"/>
                <w:kern w:val="0"/>
                <w:sz w:val="21"/>
                <w:szCs w:val="21"/>
                <w:lang w:val="en-US" w:eastAsia="zh-CN"/>
              </w:rPr>
              <w:t>临时遮盖</w:t>
            </w:r>
          </w:p>
        </w:tc>
        <w:tc>
          <w:tcPr>
            <w:tcW w:w="1441" w:type="dxa"/>
            <w:vAlign w:val="center"/>
          </w:tcPr>
          <w:p>
            <w:pPr>
              <w:pStyle w:val="158"/>
              <w:rPr>
                <w:rFonts w:hint="default" w:ascii="Times New Roman" w:hAnsi="Times New Roman" w:cs="Times New Roman"/>
                <w:lang w:val="en-US" w:eastAsia="zh-CN"/>
              </w:rPr>
            </w:pPr>
            <w:r>
              <w:rPr>
                <w:rFonts w:hint="default" w:ascii="Times New Roman" w:hAnsi="Times New Roman" w:cs="Times New Roman"/>
                <w:lang w:val="en-US" w:eastAsia="zh-CN"/>
              </w:rPr>
              <w:t>临时措施</w:t>
            </w:r>
          </w:p>
        </w:tc>
        <w:tc>
          <w:tcPr>
            <w:tcW w:w="1521" w:type="dxa"/>
            <w:vAlign w:val="center"/>
          </w:tcPr>
          <w:p>
            <w:pPr>
              <w:pStyle w:val="158"/>
              <w:rPr>
                <w:rFonts w:hint="default" w:ascii="Times New Roman" w:hAnsi="Times New Roman" w:cs="Times New Roman"/>
                <w:lang w:val="zh-CN"/>
              </w:rPr>
            </w:pPr>
            <w:r>
              <w:rPr>
                <w:rFonts w:hint="default" w:ascii="Times New Roman" w:hAnsi="Times New Roman" w:cs="Times New Roman"/>
                <w:lang w:val="zh-CN"/>
              </w:rPr>
              <w:t>新增</w:t>
            </w:r>
            <w:r>
              <w:rPr>
                <w:rFonts w:hint="default" w:ascii="Times New Roman" w:hAnsi="Times New Roman" w:cs="Times New Roman"/>
                <w:lang w:val="zh-CN" w:eastAsia="zh-CN"/>
              </w:rPr>
              <w:t>水保工程</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2" w:hRule="atLeast"/>
        </w:trPr>
        <w:tc>
          <w:tcPr>
            <w:tcW w:w="2457" w:type="dxa"/>
            <w:vMerge w:val="continue"/>
            <w:vAlign w:val="center"/>
          </w:tcPr>
          <w:p>
            <w:pPr>
              <w:pStyle w:val="158"/>
              <w:rPr>
                <w:rFonts w:hint="default" w:ascii="Times New Roman" w:hAnsi="Times New Roman" w:cs="Times New Roman"/>
                <w:lang w:val="en-US" w:eastAsia="zh-CN"/>
              </w:rPr>
            </w:pPr>
          </w:p>
        </w:tc>
        <w:tc>
          <w:tcPr>
            <w:tcW w:w="3562" w:type="dxa"/>
            <w:vAlign w:val="center"/>
          </w:tcPr>
          <w:p>
            <w:pPr>
              <w:pStyle w:val="158"/>
              <w:rPr>
                <w:rFonts w:hint="default" w:ascii="Times New Roman" w:hAnsi="Times New Roman" w:cs="Times New Roman"/>
                <w:kern w:val="0"/>
                <w:sz w:val="21"/>
                <w:szCs w:val="21"/>
              </w:rPr>
            </w:pPr>
            <w:r>
              <w:rPr>
                <w:rFonts w:hint="default" w:ascii="Times New Roman" w:hAnsi="Times New Roman" w:cs="Times New Roman"/>
                <w:kern w:val="0"/>
                <w:sz w:val="21"/>
                <w:szCs w:val="21"/>
              </w:rPr>
              <w:t>排水沟</w:t>
            </w:r>
            <w:r>
              <w:rPr>
                <w:rFonts w:hint="default" w:ascii="Times New Roman" w:hAnsi="Times New Roman" w:cs="Times New Roman"/>
                <w:kern w:val="0"/>
                <w:sz w:val="21"/>
                <w:szCs w:val="21"/>
                <w:lang w:eastAsia="zh-CN"/>
              </w:rPr>
              <w:t>、</w:t>
            </w:r>
            <w:r>
              <w:rPr>
                <w:rFonts w:hint="default" w:ascii="Times New Roman" w:hAnsi="Times New Roman" w:cs="Times New Roman"/>
                <w:kern w:val="0"/>
                <w:sz w:val="21"/>
                <w:szCs w:val="21"/>
              </w:rPr>
              <w:t>沉砂池</w:t>
            </w:r>
          </w:p>
        </w:tc>
        <w:tc>
          <w:tcPr>
            <w:tcW w:w="1441" w:type="dxa"/>
            <w:vAlign w:val="center"/>
          </w:tcPr>
          <w:p>
            <w:pPr>
              <w:pStyle w:val="158"/>
              <w:rPr>
                <w:rFonts w:hint="default" w:ascii="Times New Roman" w:hAnsi="Times New Roman" w:cs="Times New Roman"/>
                <w:lang w:val="en-US" w:eastAsia="zh-CN"/>
              </w:rPr>
            </w:pPr>
            <w:r>
              <w:rPr>
                <w:rFonts w:hint="default" w:ascii="Times New Roman" w:hAnsi="Times New Roman" w:cs="Times New Roman"/>
                <w:lang w:val="en-US" w:eastAsia="zh-CN"/>
              </w:rPr>
              <w:t>临时措施</w:t>
            </w:r>
          </w:p>
        </w:tc>
        <w:tc>
          <w:tcPr>
            <w:tcW w:w="1521" w:type="dxa"/>
            <w:vAlign w:val="center"/>
          </w:tcPr>
          <w:p>
            <w:pPr>
              <w:pStyle w:val="158"/>
              <w:rPr>
                <w:rFonts w:hint="default" w:ascii="Times New Roman" w:hAnsi="Times New Roman" w:cs="Times New Roman"/>
                <w:lang w:val="zh-CN"/>
              </w:rPr>
            </w:pPr>
            <w:r>
              <w:rPr>
                <w:rFonts w:hint="default" w:ascii="Times New Roman" w:hAnsi="Times New Roman" w:cs="Times New Roman"/>
                <w:lang w:val="zh-CN"/>
              </w:rPr>
              <w:t>新增</w:t>
            </w:r>
            <w:r>
              <w:rPr>
                <w:rFonts w:hint="default" w:ascii="Times New Roman" w:hAnsi="Times New Roman" w:cs="Times New Roman"/>
                <w:lang w:val="zh-CN" w:eastAsia="zh-CN"/>
              </w:rPr>
              <w:t>水保工程</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04" w:hRule="atLeast"/>
        </w:trPr>
        <w:tc>
          <w:tcPr>
            <w:tcW w:w="2457" w:type="dxa"/>
            <w:vMerge w:val="restart"/>
            <w:vAlign w:val="center"/>
          </w:tcPr>
          <w:p>
            <w:pPr>
              <w:pStyle w:val="158"/>
              <w:rPr>
                <w:rFonts w:hint="default" w:ascii="Times New Roman" w:hAnsi="Times New Roman" w:cs="Times New Roman"/>
                <w:lang w:val="en-US" w:eastAsia="zh-CN"/>
              </w:rPr>
            </w:pPr>
            <w:r>
              <w:rPr>
                <w:rFonts w:hint="default" w:ascii="Times New Roman" w:hAnsi="Times New Roman" w:cs="Times New Roman"/>
                <w:lang w:val="en-US" w:eastAsia="zh-CN"/>
              </w:rPr>
              <w:t>景观绿化区</w:t>
            </w:r>
          </w:p>
        </w:tc>
        <w:tc>
          <w:tcPr>
            <w:tcW w:w="3562" w:type="dxa"/>
            <w:vAlign w:val="center"/>
          </w:tcPr>
          <w:p>
            <w:pPr>
              <w:widowControl/>
              <w:adjustRightInd/>
              <w:snapToGrid/>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lang w:val="en-US" w:eastAsia="zh-CN"/>
              </w:rPr>
              <w:t>乔灌草景观绿化</w:t>
            </w:r>
          </w:p>
        </w:tc>
        <w:tc>
          <w:tcPr>
            <w:tcW w:w="1441" w:type="dxa"/>
            <w:vAlign w:val="center"/>
          </w:tcPr>
          <w:p>
            <w:pPr>
              <w:pStyle w:val="158"/>
              <w:rPr>
                <w:rFonts w:hint="default" w:ascii="Times New Roman" w:hAnsi="Times New Roman" w:cs="Times New Roman"/>
                <w:lang w:val="en-US" w:eastAsia="zh-CN"/>
              </w:rPr>
            </w:pPr>
            <w:r>
              <w:rPr>
                <w:rFonts w:hint="default" w:ascii="Times New Roman" w:hAnsi="Times New Roman" w:cs="Times New Roman"/>
                <w:lang w:val="en-US" w:eastAsia="zh-CN"/>
              </w:rPr>
              <w:t>植物措施</w:t>
            </w:r>
          </w:p>
        </w:tc>
        <w:tc>
          <w:tcPr>
            <w:tcW w:w="1521" w:type="dxa"/>
            <w:vAlign w:val="center"/>
          </w:tcPr>
          <w:p>
            <w:pPr>
              <w:pStyle w:val="158"/>
              <w:rPr>
                <w:rFonts w:hint="default" w:ascii="Times New Roman" w:hAnsi="Times New Roman" w:cs="Times New Roman"/>
                <w:lang w:val="zh-CN"/>
              </w:rPr>
            </w:pPr>
            <w:r>
              <w:rPr>
                <w:rFonts w:hint="default" w:ascii="Times New Roman" w:hAnsi="Times New Roman" w:cs="Times New Roman"/>
                <w:lang w:val="zh-CN"/>
              </w:rPr>
              <w:t>新增</w:t>
            </w:r>
            <w:r>
              <w:rPr>
                <w:rFonts w:hint="default" w:ascii="Times New Roman" w:hAnsi="Times New Roman" w:cs="Times New Roman"/>
                <w:lang w:val="zh-CN" w:eastAsia="zh-CN"/>
              </w:rPr>
              <w:t>水保工程</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72" w:hRule="atLeast"/>
        </w:trPr>
        <w:tc>
          <w:tcPr>
            <w:tcW w:w="2457" w:type="dxa"/>
            <w:vMerge w:val="continue"/>
            <w:vAlign w:val="center"/>
          </w:tcPr>
          <w:p>
            <w:pPr>
              <w:pStyle w:val="158"/>
              <w:rPr>
                <w:rFonts w:hint="default" w:ascii="Times New Roman" w:hAnsi="Times New Roman" w:cs="Times New Roman"/>
                <w:lang w:val="en-US" w:eastAsia="zh-CN"/>
              </w:rPr>
            </w:pPr>
          </w:p>
        </w:tc>
        <w:tc>
          <w:tcPr>
            <w:tcW w:w="3562" w:type="dxa"/>
            <w:vAlign w:val="center"/>
          </w:tcPr>
          <w:p>
            <w:pPr>
              <w:widowControl/>
              <w:adjustRightInd/>
              <w:snapToGrid/>
              <w:spacing w:line="240" w:lineRule="auto"/>
              <w:ind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表土剥离回覆</w:t>
            </w:r>
          </w:p>
        </w:tc>
        <w:tc>
          <w:tcPr>
            <w:tcW w:w="1441" w:type="dxa"/>
            <w:vAlign w:val="center"/>
          </w:tcPr>
          <w:p>
            <w:pPr>
              <w:pStyle w:val="158"/>
              <w:rPr>
                <w:rFonts w:hint="default" w:ascii="Times New Roman" w:hAnsi="Times New Roman" w:cs="Times New Roman"/>
                <w:lang w:val="en-US" w:eastAsia="zh-CN"/>
              </w:rPr>
            </w:pPr>
            <w:r>
              <w:rPr>
                <w:rFonts w:hint="default" w:ascii="Times New Roman" w:hAnsi="Times New Roman" w:cs="Times New Roman"/>
                <w:lang w:val="en-US" w:eastAsia="zh-CN"/>
              </w:rPr>
              <w:t>工程措施</w:t>
            </w:r>
          </w:p>
        </w:tc>
        <w:tc>
          <w:tcPr>
            <w:tcW w:w="1521" w:type="dxa"/>
            <w:vAlign w:val="center"/>
          </w:tcPr>
          <w:p>
            <w:pPr>
              <w:pStyle w:val="158"/>
              <w:rPr>
                <w:rFonts w:hint="default" w:ascii="Times New Roman" w:hAnsi="Times New Roman" w:cs="Times New Roman"/>
                <w:lang w:val="zh-CN"/>
              </w:rPr>
            </w:pPr>
            <w:r>
              <w:rPr>
                <w:rFonts w:hint="default" w:ascii="Times New Roman" w:hAnsi="Times New Roman" w:cs="Times New Roman"/>
                <w:lang w:val="zh-CN"/>
              </w:rPr>
              <w:t>新增</w:t>
            </w:r>
            <w:r>
              <w:rPr>
                <w:rFonts w:hint="default" w:ascii="Times New Roman" w:hAnsi="Times New Roman" w:cs="Times New Roman"/>
                <w:lang w:val="zh-CN" w:eastAsia="zh-CN"/>
              </w:rPr>
              <w:t>水保工程</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72" w:hRule="atLeast"/>
        </w:trPr>
        <w:tc>
          <w:tcPr>
            <w:tcW w:w="2457" w:type="dxa"/>
            <w:vMerge w:val="continue"/>
            <w:vAlign w:val="center"/>
          </w:tcPr>
          <w:p>
            <w:pPr>
              <w:pStyle w:val="158"/>
              <w:rPr>
                <w:rFonts w:hint="default" w:ascii="Times New Roman" w:hAnsi="Times New Roman" w:cs="Times New Roman"/>
                <w:lang w:val="en-US" w:eastAsia="zh-CN"/>
              </w:rPr>
            </w:pPr>
          </w:p>
        </w:tc>
        <w:tc>
          <w:tcPr>
            <w:tcW w:w="3562" w:type="dxa"/>
            <w:vAlign w:val="center"/>
          </w:tcPr>
          <w:p>
            <w:pPr>
              <w:widowControl/>
              <w:adjustRightInd/>
              <w:snapToGrid/>
              <w:spacing w:line="240" w:lineRule="auto"/>
              <w:ind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临时拦挡</w:t>
            </w:r>
          </w:p>
        </w:tc>
        <w:tc>
          <w:tcPr>
            <w:tcW w:w="1441" w:type="dxa"/>
            <w:vAlign w:val="center"/>
          </w:tcPr>
          <w:p>
            <w:pPr>
              <w:pStyle w:val="158"/>
              <w:rPr>
                <w:rFonts w:hint="default" w:ascii="Times New Roman" w:hAnsi="Times New Roman" w:cs="Times New Roman"/>
                <w:lang w:val="en-US" w:eastAsia="zh-CN"/>
              </w:rPr>
            </w:pPr>
            <w:r>
              <w:rPr>
                <w:rFonts w:hint="default" w:ascii="Times New Roman" w:hAnsi="Times New Roman" w:cs="Times New Roman"/>
                <w:lang w:val="en-US" w:eastAsia="zh-CN"/>
              </w:rPr>
              <w:t>临时措施</w:t>
            </w:r>
          </w:p>
        </w:tc>
        <w:tc>
          <w:tcPr>
            <w:tcW w:w="1521" w:type="dxa"/>
            <w:vAlign w:val="center"/>
          </w:tcPr>
          <w:p>
            <w:pPr>
              <w:pStyle w:val="158"/>
              <w:rPr>
                <w:rFonts w:hint="default" w:ascii="Times New Roman" w:hAnsi="Times New Roman" w:cs="Times New Roman"/>
                <w:lang w:val="zh-CN"/>
              </w:rPr>
            </w:pPr>
            <w:r>
              <w:rPr>
                <w:rFonts w:hint="default" w:ascii="Times New Roman" w:hAnsi="Times New Roman" w:cs="Times New Roman"/>
                <w:lang w:val="zh-CN"/>
              </w:rPr>
              <w:t>新增</w:t>
            </w:r>
            <w:r>
              <w:rPr>
                <w:rFonts w:hint="default" w:ascii="Times New Roman" w:hAnsi="Times New Roman" w:cs="Times New Roman"/>
                <w:lang w:val="zh-CN" w:eastAsia="zh-CN"/>
              </w:rPr>
              <w:t>水保工程</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72" w:hRule="atLeast"/>
        </w:trPr>
        <w:tc>
          <w:tcPr>
            <w:tcW w:w="2457" w:type="dxa"/>
            <w:vMerge w:val="continue"/>
            <w:vAlign w:val="center"/>
          </w:tcPr>
          <w:p>
            <w:pPr>
              <w:pStyle w:val="158"/>
              <w:rPr>
                <w:rFonts w:hint="default" w:ascii="Times New Roman" w:hAnsi="Times New Roman" w:cs="Times New Roman"/>
                <w:lang w:val="en-US" w:eastAsia="zh-CN"/>
              </w:rPr>
            </w:pPr>
          </w:p>
        </w:tc>
        <w:tc>
          <w:tcPr>
            <w:tcW w:w="3562" w:type="dxa"/>
            <w:vAlign w:val="center"/>
          </w:tcPr>
          <w:p>
            <w:pPr>
              <w:widowControl/>
              <w:adjustRightInd/>
              <w:snapToGrid/>
              <w:spacing w:line="240" w:lineRule="auto"/>
              <w:ind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临时遮盖</w:t>
            </w:r>
          </w:p>
        </w:tc>
        <w:tc>
          <w:tcPr>
            <w:tcW w:w="1441" w:type="dxa"/>
            <w:vAlign w:val="center"/>
          </w:tcPr>
          <w:p>
            <w:pPr>
              <w:pStyle w:val="158"/>
              <w:rPr>
                <w:rFonts w:hint="default" w:ascii="Times New Roman" w:hAnsi="Times New Roman" w:cs="Times New Roman"/>
                <w:lang w:val="en-US" w:eastAsia="zh-CN"/>
              </w:rPr>
            </w:pPr>
            <w:r>
              <w:rPr>
                <w:rFonts w:hint="default" w:ascii="Times New Roman" w:hAnsi="Times New Roman" w:cs="Times New Roman"/>
                <w:lang w:val="en-US" w:eastAsia="zh-CN"/>
              </w:rPr>
              <w:t>临时措施</w:t>
            </w:r>
          </w:p>
        </w:tc>
        <w:tc>
          <w:tcPr>
            <w:tcW w:w="1521" w:type="dxa"/>
            <w:vAlign w:val="center"/>
          </w:tcPr>
          <w:p>
            <w:pPr>
              <w:pStyle w:val="158"/>
              <w:rPr>
                <w:rFonts w:hint="default" w:ascii="Times New Roman" w:hAnsi="Times New Roman" w:eastAsia="宋体" w:cs="Times New Roman"/>
                <w:lang w:val="en-US" w:eastAsia="zh-CN"/>
              </w:rPr>
            </w:pPr>
            <w:r>
              <w:rPr>
                <w:rFonts w:hint="default" w:ascii="Times New Roman" w:hAnsi="Times New Roman" w:cs="Times New Roman"/>
                <w:lang w:val="zh-CN"/>
              </w:rPr>
              <w:t>新增</w:t>
            </w:r>
            <w:r>
              <w:rPr>
                <w:rFonts w:hint="default" w:ascii="Times New Roman" w:hAnsi="Times New Roman" w:cs="Times New Roman"/>
                <w:lang w:val="zh-CN" w:eastAsia="zh-CN"/>
              </w:rPr>
              <w:t>水保工程</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72" w:hRule="atLeast"/>
        </w:trPr>
        <w:tc>
          <w:tcPr>
            <w:tcW w:w="2457" w:type="dxa"/>
            <w:vMerge w:val="continue"/>
            <w:vAlign w:val="center"/>
          </w:tcPr>
          <w:p>
            <w:pPr>
              <w:pStyle w:val="158"/>
              <w:rPr>
                <w:rFonts w:hint="default" w:ascii="Times New Roman" w:hAnsi="Times New Roman" w:cs="Times New Roman"/>
                <w:lang w:val="en-US" w:eastAsia="zh-CN"/>
              </w:rPr>
            </w:pPr>
          </w:p>
        </w:tc>
        <w:tc>
          <w:tcPr>
            <w:tcW w:w="3562" w:type="dxa"/>
            <w:vAlign w:val="center"/>
          </w:tcPr>
          <w:p>
            <w:pPr>
              <w:widowControl/>
              <w:adjustRightInd/>
              <w:snapToGrid/>
              <w:spacing w:line="240" w:lineRule="auto"/>
              <w:ind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排水沟沉砂池</w:t>
            </w:r>
          </w:p>
        </w:tc>
        <w:tc>
          <w:tcPr>
            <w:tcW w:w="1441" w:type="dxa"/>
            <w:vAlign w:val="center"/>
          </w:tcPr>
          <w:p>
            <w:pPr>
              <w:pStyle w:val="158"/>
              <w:rPr>
                <w:rFonts w:hint="default" w:ascii="Times New Roman" w:hAnsi="Times New Roman" w:cs="Times New Roman"/>
                <w:lang w:val="en-US" w:eastAsia="zh-CN"/>
              </w:rPr>
            </w:pPr>
            <w:r>
              <w:rPr>
                <w:rFonts w:hint="default" w:ascii="Times New Roman" w:hAnsi="Times New Roman" w:cs="Times New Roman"/>
                <w:lang w:val="en-US" w:eastAsia="zh-CN"/>
              </w:rPr>
              <w:t>临时措施</w:t>
            </w:r>
          </w:p>
        </w:tc>
        <w:tc>
          <w:tcPr>
            <w:tcW w:w="1521" w:type="dxa"/>
            <w:vAlign w:val="center"/>
          </w:tcPr>
          <w:p>
            <w:pPr>
              <w:pStyle w:val="158"/>
              <w:rPr>
                <w:rFonts w:hint="default" w:ascii="Times New Roman" w:hAnsi="Times New Roman" w:eastAsia="宋体" w:cs="Times New Roman"/>
                <w:lang w:val="en-US" w:eastAsia="zh-CN"/>
              </w:rPr>
            </w:pPr>
            <w:r>
              <w:rPr>
                <w:rFonts w:hint="default" w:ascii="Times New Roman" w:hAnsi="Times New Roman" w:cs="Times New Roman"/>
                <w:lang w:val="zh-CN"/>
              </w:rPr>
              <w:t>新增</w:t>
            </w:r>
            <w:r>
              <w:rPr>
                <w:rFonts w:hint="default" w:ascii="Times New Roman" w:hAnsi="Times New Roman" w:cs="Times New Roman"/>
                <w:lang w:val="zh-CN" w:eastAsia="zh-CN"/>
              </w:rPr>
              <w:t>水保工程</w:t>
            </w:r>
          </w:p>
        </w:tc>
      </w:tr>
    </w:tbl>
    <w:p>
      <w:pPr>
        <w:pStyle w:val="3"/>
        <w:rPr>
          <w:rFonts w:hint="default" w:ascii="Times New Roman" w:hAnsi="Times New Roman" w:cs="Times New Roman"/>
        </w:rPr>
      </w:pPr>
      <w:bookmarkStart w:id="46" w:name="_Toc502049581"/>
      <w:r>
        <w:rPr>
          <w:rFonts w:hint="default" w:ascii="Times New Roman" w:hAnsi="Times New Roman" w:cs="Times New Roman"/>
        </w:rPr>
        <w:t>3.5水土保持设施完成情况</w:t>
      </w:r>
      <w:bookmarkEnd w:id="46"/>
    </w:p>
    <w:p>
      <w:pPr>
        <w:pStyle w:val="440"/>
        <w:ind w:firstLine="480"/>
        <w:rPr>
          <w:rFonts w:hint="default" w:ascii="Times New Roman" w:hAnsi="Times New Roman" w:cs="Times New Roman"/>
        </w:rPr>
      </w:pPr>
      <w:r>
        <w:rPr>
          <w:rFonts w:hint="default" w:ascii="Times New Roman" w:hAnsi="Times New Roman" w:cs="Times New Roman"/>
        </w:rPr>
        <w:t>1、工程措施</w:t>
      </w:r>
    </w:p>
    <w:p>
      <w:pPr>
        <w:pStyle w:val="440"/>
        <w:ind w:firstLine="480"/>
        <w:rPr>
          <w:rFonts w:hint="default" w:ascii="Times New Roman" w:hAnsi="Times New Roman" w:cs="Times New Roman"/>
        </w:rPr>
      </w:pPr>
      <w:r>
        <w:rPr>
          <w:rFonts w:hint="default" w:ascii="Times New Roman" w:hAnsi="Times New Roman" w:cs="Times New Roman"/>
        </w:rPr>
        <w:t>泸州鑫盛轻工发展有限公司</w:t>
      </w:r>
      <w:r>
        <w:rPr>
          <w:rFonts w:hint="default" w:ascii="Times New Roman" w:hAnsi="Times New Roman" w:cs="Times New Roman" w:eastAsiaTheme="minorEastAsia"/>
          <w:color w:val="auto"/>
          <w:kern w:val="2"/>
          <w:sz w:val="24"/>
          <w:szCs w:val="28"/>
          <w:lang w:val="en-US" w:eastAsia="zh-CN" w:bidi="ar-SA"/>
        </w:rPr>
        <w:t>泸州市江阳区蓝田街道重湾（干坝子）安置房建设工程</w:t>
      </w:r>
      <w:r>
        <w:rPr>
          <w:rFonts w:hint="default" w:ascii="Times New Roman" w:hAnsi="Times New Roman" w:cs="Times New Roman"/>
          <w:color w:val="auto"/>
          <w:kern w:val="2"/>
          <w:sz w:val="24"/>
          <w:szCs w:val="28"/>
          <w:lang w:val="en-US" w:eastAsia="zh-CN" w:bidi="ar-SA"/>
        </w:rPr>
        <w:t>工程</w:t>
      </w:r>
      <w:r>
        <w:rPr>
          <w:rFonts w:hint="default" w:ascii="Times New Roman" w:hAnsi="Times New Roman" w:cs="Times New Roman"/>
        </w:rPr>
        <w:t>措施包括：</w:t>
      </w:r>
      <w:r>
        <w:rPr>
          <w:rFonts w:hint="default" w:ascii="Times New Roman" w:hAnsi="Times New Roman" w:cs="Times New Roman"/>
          <w:lang w:val="en-US" w:eastAsia="zh-CN"/>
        </w:rPr>
        <w:t>雨水管网铺设、表土回覆</w:t>
      </w:r>
      <w:r>
        <w:rPr>
          <w:rFonts w:hint="default" w:ascii="Times New Roman" w:hAnsi="Times New Roman" w:cs="Times New Roman"/>
        </w:rPr>
        <w:t>。</w:t>
      </w:r>
    </w:p>
    <w:p>
      <w:pPr>
        <w:pStyle w:val="440"/>
        <w:ind w:firstLine="480"/>
        <w:rPr>
          <w:rFonts w:hint="default" w:ascii="Times New Roman" w:hAnsi="Times New Roman" w:cs="Times New Roman"/>
          <w:szCs w:val="23"/>
        </w:rPr>
      </w:pPr>
      <w:r>
        <w:rPr>
          <w:rFonts w:hint="default" w:ascii="Times New Roman" w:hAnsi="Times New Roman" w:cs="Times New Roman"/>
          <w:szCs w:val="23"/>
        </w:rPr>
        <w:t>工程措施实际工程量与设计工程量对比表3-4。</w:t>
      </w:r>
    </w:p>
    <w:p>
      <w:pPr>
        <w:pStyle w:val="440"/>
        <w:ind w:firstLine="480"/>
        <w:rPr>
          <w:rFonts w:hint="default" w:ascii="Times New Roman" w:hAnsi="Times New Roman" w:cs="Times New Roman"/>
          <w:szCs w:val="23"/>
        </w:rPr>
      </w:pPr>
    </w:p>
    <w:p>
      <w:pPr>
        <w:pStyle w:val="440"/>
        <w:ind w:firstLine="480"/>
        <w:rPr>
          <w:rFonts w:hint="default" w:ascii="Times New Roman" w:hAnsi="Times New Roman" w:cs="Times New Roman"/>
          <w:szCs w:val="23"/>
          <w:lang w:eastAsia="zh-CN"/>
        </w:rPr>
      </w:pPr>
    </w:p>
    <w:p>
      <w:pPr>
        <w:pStyle w:val="32"/>
        <w:ind w:firstLine="480"/>
        <w:rPr>
          <w:rFonts w:hint="default" w:ascii="Times New Roman" w:hAnsi="Times New Roman" w:cs="Times New Roman"/>
        </w:rPr>
      </w:pPr>
      <w:r>
        <w:rPr>
          <w:rFonts w:hint="default" w:ascii="Times New Roman" w:hAnsi="Times New Roman" w:cs="Times New Roman"/>
        </w:rPr>
        <w:t>表3-4  水土保持工程措施工程数量表</w:t>
      </w:r>
    </w:p>
    <w:tbl>
      <w:tblPr>
        <w:tblStyle w:val="46"/>
        <w:tblW w:w="8981"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44"/>
        <w:gridCol w:w="2248"/>
        <w:gridCol w:w="1694"/>
        <w:gridCol w:w="992"/>
        <w:gridCol w:w="1560"/>
        <w:gridCol w:w="164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844" w:type="dxa"/>
            <w:vAlign w:val="center"/>
          </w:tcPr>
          <w:p>
            <w:pPr>
              <w:pStyle w:val="158"/>
              <w:rPr>
                <w:rFonts w:hint="default" w:ascii="Times New Roman" w:hAnsi="Times New Roman" w:cs="Times New Roman"/>
              </w:rPr>
            </w:pPr>
            <w:r>
              <w:rPr>
                <w:rFonts w:hint="default" w:ascii="Times New Roman" w:hAnsi="Times New Roman" w:cs="Times New Roman"/>
              </w:rPr>
              <w:t>措施类别</w:t>
            </w:r>
          </w:p>
        </w:tc>
        <w:tc>
          <w:tcPr>
            <w:tcW w:w="2248" w:type="dxa"/>
            <w:vAlign w:val="center"/>
          </w:tcPr>
          <w:p>
            <w:pPr>
              <w:pStyle w:val="158"/>
              <w:rPr>
                <w:rFonts w:hint="default" w:ascii="Times New Roman" w:hAnsi="Times New Roman" w:cs="Times New Roman"/>
              </w:rPr>
            </w:pPr>
            <w:r>
              <w:rPr>
                <w:rFonts w:hint="default" w:ascii="Times New Roman" w:hAnsi="Times New Roman" w:cs="Times New Roman"/>
              </w:rPr>
              <w:t>分区</w:t>
            </w:r>
          </w:p>
        </w:tc>
        <w:tc>
          <w:tcPr>
            <w:tcW w:w="1694" w:type="dxa"/>
            <w:vAlign w:val="center"/>
          </w:tcPr>
          <w:p>
            <w:pPr>
              <w:pStyle w:val="158"/>
              <w:rPr>
                <w:rFonts w:hint="default" w:ascii="Times New Roman" w:hAnsi="Times New Roman" w:cs="Times New Roman"/>
              </w:rPr>
            </w:pPr>
            <w:r>
              <w:rPr>
                <w:rFonts w:hint="default" w:ascii="Times New Roman" w:hAnsi="Times New Roman" w:cs="Times New Roman"/>
              </w:rPr>
              <w:t>防护措施</w:t>
            </w:r>
          </w:p>
        </w:tc>
        <w:tc>
          <w:tcPr>
            <w:tcW w:w="992" w:type="dxa"/>
            <w:vAlign w:val="center"/>
          </w:tcPr>
          <w:p>
            <w:pPr>
              <w:pStyle w:val="158"/>
              <w:rPr>
                <w:rFonts w:hint="default" w:ascii="Times New Roman" w:hAnsi="Times New Roman" w:cs="Times New Roman"/>
              </w:rPr>
            </w:pPr>
            <w:r>
              <w:rPr>
                <w:rFonts w:hint="default" w:ascii="Times New Roman" w:hAnsi="Times New Roman" w:cs="Times New Roman"/>
              </w:rPr>
              <w:t>单位</w:t>
            </w:r>
          </w:p>
        </w:tc>
        <w:tc>
          <w:tcPr>
            <w:tcW w:w="1560" w:type="dxa"/>
            <w:vAlign w:val="center"/>
          </w:tcPr>
          <w:p>
            <w:pPr>
              <w:pStyle w:val="158"/>
              <w:rPr>
                <w:rFonts w:hint="default" w:ascii="Times New Roman" w:hAnsi="Times New Roman" w:cs="Times New Roman"/>
              </w:rPr>
            </w:pPr>
            <w:r>
              <w:rPr>
                <w:rFonts w:hint="default" w:ascii="Times New Roman" w:hAnsi="Times New Roman" w:cs="Times New Roman"/>
              </w:rPr>
              <w:t>设计工程量</w:t>
            </w:r>
          </w:p>
        </w:tc>
        <w:tc>
          <w:tcPr>
            <w:tcW w:w="1643" w:type="dxa"/>
            <w:vAlign w:val="center"/>
          </w:tcPr>
          <w:p>
            <w:pPr>
              <w:pStyle w:val="158"/>
              <w:rPr>
                <w:rFonts w:hint="default" w:ascii="Times New Roman" w:hAnsi="Times New Roman" w:cs="Times New Roman"/>
              </w:rPr>
            </w:pPr>
            <w:r>
              <w:rPr>
                <w:rFonts w:hint="default" w:ascii="Times New Roman" w:hAnsi="Times New Roman" w:cs="Times New Roman"/>
              </w:rPr>
              <w:t>实际工程量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87" w:hRule="atLeast"/>
        </w:trPr>
        <w:tc>
          <w:tcPr>
            <w:tcW w:w="844" w:type="dxa"/>
            <w:vMerge w:val="restart"/>
            <w:vAlign w:val="center"/>
          </w:tcPr>
          <w:p>
            <w:pPr>
              <w:pStyle w:val="158"/>
              <w:rPr>
                <w:rFonts w:hint="default" w:ascii="Times New Roman" w:hAnsi="Times New Roman" w:cs="Times New Roman"/>
              </w:rPr>
            </w:pPr>
            <w:r>
              <w:rPr>
                <w:rFonts w:hint="default" w:ascii="Times New Roman" w:hAnsi="Times New Roman" w:cs="Times New Roman"/>
              </w:rPr>
              <w:t>工程措施</w:t>
            </w:r>
          </w:p>
        </w:tc>
        <w:tc>
          <w:tcPr>
            <w:tcW w:w="2248" w:type="dxa"/>
            <w:vAlign w:val="center"/>
          </w:tcPr>
          <w:p>
            <w:pPr>
              <w:pStyle w:val="158"/>
              <w:rPr>
                <w:rFonts w:hint="default" w:ascii="Times New Roman" w:hAnsi="Times New Roman" w:eastAsia="宋体" w:cs="Times New Roman"/>
                <w:lang w:val="en-US" w:eastAsia="zh-CN"/>
              </w:rPr>
            </w:pPr>
            <w:r>
              <w:rPr>
                <w:rFonts w:hint="default" w:ascii="Times New Roman" w:hAnsi="Times New Roman" w:cs="Times New Roman"/>
                <w:lang w:val="en-US" w:eastAsia="zh-CN"/>
              </w:rPr>
              <w:t>主体建筑区</w:t>
            </w:r>
          </w:p>
        </w:tc>
        <w:tc>
          <w:tcPr>
            <w:tcW w:w="1694" w:type="dxa"/>
            <w:vAlign w:val="center"/>
          </w:tcPr>
          <w:p>
            <w:pPr>
              <w:pStyle w:val="158"/>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雨水管网</w:t>
            </w:r>
          </w:p>
        </w:tc>
        <w:tc>
          <w:tcPr>
            <w:tcW w:w="992" w:type="dxa"/>
            <w:vAlign w:val="center"/>
          </w:tcPr>
          <w:p>
            <w:pPr>
              <w:pStyle w:val="158"/>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m</w:t>
            </w:r>
          </w:p>
        </w:tc>
        <w:tc>
          <w:tcPr>
            <w:tcW w:w="1560" w:type="dxa"/>
            <w:vAlign w:val="center"/>
          </w:tcPr>
          <w:p>
            <w:pPr>
              <w:pStyle w:val="158"/>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1000</w:t>
            </w:r>
          </w:p>
        </w:tc>
        <w:tc>
          <w:tcPr>
            <w:tcW w:w="1643" w:type="dxa"/>
            <w:vAlign w:val="center"/>
          </w:tcPr>
          <w:p>
            <w:pPr>
              <w:pStyle w:val="158"/>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1000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87" w:hRule="atLeast"/>
        </w:trPr>
        <w:tc>
          <w:tcPr>
            <w:tcW w:w="844" w:type="dxa"/>
            <w:vMerge w:val="continue"/>
            <w:vAlign w:val="center"/>
          </w:tcPr>
          <w:p>
            <w:pPr>
              <w:pStyle w:val="158"/>
              <w:rPr>
                <w:rFonts w:hint="default" w:ascii="Times New Roman" w:hAnsi="Times New Roman" w:cs="Times New Roman"/>
              </w:rPr>
            </w:pPr>
          </w:p>
        </w:tc>
        <w:tc>
          <w:tcPr>
            <w:tcW w:w="2248" w:type="dxa"/>
            <w:vAlign w:val="center"/>
          </w:tcPr>
          <w:p>
            <w:pPr>
              <w:pStyle w:val="158"/>
              <w:rPr>
                <w:rFonts w:hint="default" w:ascii="Times New Roman" w:hAnsi="Times New Roman" w:eastAsia="宋体" w:cs="Times New Roman"/>
                <w:lang w:eastAsia="zh-CN"/>
              </w:rPr>
            </w:pPr>
            <w:r>
              <w:rPr>
                <w:rFonts w:hint="default" w:ascii="Times New Roman" w:hAnsi="Times New Roman" w:cs="Times New Roman"/>
                <w:lang w:val="en-US" w:eastAsia="zh-CN"/>
              </w:rPr>
              <w:t>道路广场区</w:t>
            </w:r>
          </w:p>
        </w:tc>
        <w:tc>
          <w:tcPr>
            <w:tcW w:w="1694" w:type="dxa"/>
            <w:vAlign w:val="center"/>
          </w:tcPr>
          <w:p>
            <w:pPr>
              <w:pStyle w:val="158"/>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雨水管网</w:t>
            </w:r>
          </w:p>
        </w:tc>
        <w:tc>
          <w:tcPr>
            <w:tcW w:w="992" w:type="dxa"/>
            <w:vAlign w:val="center"/>
          </w:tcPr>
          <w:p>
            <w:pPr>
              <w:pStyle w:val="158"/>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m</w:t>
            </w:r>
          </w:p>
        </w:tc>
        <w:tc>
          <w:tcPr>
            <w:tcW w:w="1560" w:type="dxa"/>
            <w:vAlign w:val="center"/>
          </w:tcPr>
          <w:p>
            <w:pPr>
              <w:pStyle w:val="158"/>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655</w:t>
            </w:r>
          </w:p>
        </w:tc>
        <w:tc>
          <w:tcPr>
            <w:tcW w:w="1643" w:type="dxa"/>
            <w:vAlign w:val="center"/>
          </w:tcPr>
          <w:p>
            <w:pPr>
              <w:pStyle w:val="158"/>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655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trPr>
        <w:tc>
          <w:tcPr>
            <w:tcW w:w="844" w:type="dxa"/>
            <w:vMerge w:val="continue"/>
            <w:vAlign w:val="center"/>
          </w:tcPr>
          <w:p>
            <w:pPr>
              <w:pStyle w:val="158"/>
              <w:rPr>
                <w:rFonts w:hint="default" w:ascii="Times New Roman" w:hAnsi="Times New Roman" w:cs="Times New Roman"/>
              </w:rPr>
            </w:pPr>
          </w:p>
        </w:tc>
        <w:tc>
          <w:tcPr>
            <w:tcW w:w="2248" w:type="dxa"/>
            <w:vAlign w:val="center"/>
          </w:tcPr>
          <w:p>
            <w:pPr>
              <w:pStyle w:val="158"/>
              <w:rPr>
                <w:rFonts w:hint="default" w:ascii="Times New Roman" w:hAnsi="Times New Roman" w:cs="Times New Roman"/>
                <w:lang w:val="en-US" w:eastAsia="zh-CN"/>
              </w:rPr>
            </w:pPr>
            <w:r>
              <w:rPr>
                <w:rFonts w:hint="default" w:ascii="Times New Roman" w:hAnsi="Times New Roman" w:cs="Times New Roman"/>
                <w:lang w:val="en-US" w:eastAsia="zh-CN"/>
              </w:rPr>
              <w:t>景观绿化区</w:t>
            </w:r>
          </w:p>
        </w:tc>
        <w:tc>
          <w:tcPr>
            <w:tcW w:w="1694" w:type="dxa"/>
            <w:vAlign w:val="center"/>
          </w:tcPr>
          <w:p>
            <w:pPr>
              <w:pStyle w:val="158"/>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表土回覆</w:t>
            </w:r>
          </w:p>
        </w:tc>
        <w:tc>
          <w:tcPr>
            <w:tcW w:w="992" w:type="dxa"/>
            <w:vAlign w:val="center"/>
          </w:tcPr>
          <w:p>
            <w:pPr>
              <w:pStyle w:val="158"/>
              <w:jc w:val="center"/>
              <w:rPr>
                <w:rFonts w:hint="default" w:ascii="Times New Roman" w:hAnsi="Times New Roman" w:cs="Times New Roman"/>
              </w:rPr>
            </w:pPr>
            <w:r>
              <w:rPr>
                <w:rFonts w:hint="default" w:ascii="Times New Roman" w:hAnsi="Times New Roman" w:cs="Times New Roman"/>
              </w:rPr>
              <w:t>m</w:t>
            </w:r>
            <w:r>
              <w:rPr>
                <w:rFonts w:hint="default" w:ascii="Times New Roman" w:hAnsi="Times New Roman" w:cs="Times New Roman"/>
                <w:vertAlign w:val="superscript"/>
              </w:rPr>
              <w:t>3</w:t>
            </w:r>
          </w:p>
        </w:tc>
        <w:tc>
          <w:tcPr>
            <w:tcW w:w="1560" w:type="dxa"/>
            <w:vAlign w:val="center"/>
          </w:tcPr>
          <w:p>
            <w:pPr>
              <w:pStyle w:val="158"/>
              <w:jc w:val="center"/>
              <w:rPr>
                <w:rFonts w:hint="default" w:ascii="Times New Roman" w:hAnsi="Times New Roman" w:cs="Times New Roman"/>
                <w:lang w:val="en-US" w:eastAsia="zh-CN"/>
              </w:rPr>
            </w:pPr>
            <w:r>
              <w:rPr>
                <w:rFonts w:hint="default" w:ascii="Times New Roman" w:hAnsi="Times New Roman" w:cs="Times New Roman"/>
                <w:lang w:val="en-US" w:eastAsia="zh-CN"/>
              </w:rPr>
              <w:t>1195</w:t>
            </w:r>
          </w:p>
        </w:tc>
        <w:tc>
          <w:tcPr>
            <w:tcW w:w="1643" w:type="dxa"/>
            <w:vAlign w:val="center"/>
          </w:tcPr>
          <w:p>
            <w:pPr>
              <w:pStyle w:val="158"/>
              <w:jc w:val="center"/>
              <w:rPr>
                <w:rFonts w:hint="default" w:ascii="Times New Roman" w:hAnsi="Times New Roman" w:cs="Times New Roman"/>
                <w:lang w:val="en-US" w:eastAsia="zh-CN"/>
              </w:rPr>
            </w:pPr>
            <w:r>
              <w:rPr>
                <w:rFonts w:hint="default" w:ascii="Times New Roman" w:hAnsi="Times New Roman" w:cs="Times New Roman"/>
                <w:lang w:val="en-US" w:eastAsia="zh-CN"/>
              </w:rPr>
              <w:t>1195</w:t>
            </w:r>
          </w:p>
        </w:tc>
      </w:tr>
    </w:tbl>
    <w:p>
      <w:pPr>
        <w:pStyle w:val="440"/>
        <w:ind w:firstLine="480"/>
        <w:rPr>
          <w:rFonts w:hint="default" w:ascii="Times New Roman" w:hAnsi="Times New Roman" w:cs="Times New Roman"/>
        </w:rPr>
      </w:pPr>
      <w:r>
        <w:rPr>
          <w:rFonts w:hint="default" w:ascii="Times New Roman" w:hAnsi="Times New Roman" w:cs="Times New Roman"/>
        </w:rPr>
        <w:t>2、植物措施</w:t>
      </w:r>
    </w:p>
    <w:p>
      <w:pPr>
        <w:pStyle w:val="440"/>
        <w:ind w:firstLine="480"/>
        <w:rPr>
          <w:rFonts w:hint="default" w:ascii="Times New Roman" w:hAnsi="Times New Roman" w:cs="Times New Roman"/>
          <w:szCs w:val="23"/>
        </w:rPr>
      </w:pPr>
      <w:r>
        <w:rPr>
          <w:rFonts w:hint="default" w:ascii="Times New Roman" w:hAnsi="Times New Roman" w:cs="Times New Roman"/>
        </w:rPr>
        <w:t>泸州鑫盛轻工发展有限公司</w:t>
      </w:r>
      <w:r>
        <w:rPr>
          <w:rFonts w:hint="default" w:ascii="Times New Roman" w:hAnsi="Times New Roman" w:cs="Times New Roman" w:eastAsiaTheme="minorEastAsia"/>
          <w:color w:val="auto"/>
          <w:kern w:val="2"/>
          <w:sz w:val="24"/>
          <w:szCs w:val="28"/>
          <w:lang w:val="en-US" w:eastAsia="zh-CN" w:bidi="ar-SA"/>
        </w:rPr>
        <w:t>泸州市江阳区蓝田街道重湾（干坝子）安置房建设工程</w:t>
      </w:r>
      <w:r>
        <w:rPr>
          <w:rFonts w:hint="default" w:ascii="Times New Roman" w:hAnsi="Times New Roman" w:cs="Times New Roman"/>
        </w:rPr>
        <w:t>植物措施包括：</w:t>
      </w:r>
      <w:r>
        <w:rPr>
          <w:rFonts w:hint="default" w:ascii="Times New Roman" w:hAnsi="Times New Roman" w:cs="Times New Roman"/>
          <w:lang w:val="zh-CN" w:eastAsia="zh-CN"/>
        </w:rPr>
        <w:t>种植灌木</w:t>
      </w:r>
      <w:r>
        <w:rPr>
          <w:rFonts w:hint="default" w:ascii="Times New Roman" w:hAnsi="Times New Roman" w:cs="Times New Roman"/>
        </w:rPr>
        <w:t>、撒播草籽。</w:t>
      </w:r>
    </w:p>
    <w:p>
      <w:pPr>
        <w:pStyle w:val="440"/>
        <w:ind w:left="480" w:firstLine="0" w:firstLineChars="0"/>
        <w:rPr>
          <w:rFonts w:hint="default" w:ascii="Times New Roman" w:hAnsi="Times New Roman" w:cs="Times New Roman"/>
          <w:szCs w:val="23"/>
        </w:rPr>
      </w:pPr>
      <w:r>
        <w:rPr>
          <w:rFonts w:hint="default" w:ascii="Times New Roman" w:hAnsi="Times New Roman" w:cs="Times New Roman"/>
          <w:szCs w:val="23"/>
        </w:rPr>
        <w:t>植物措施实际工程量与设计工程量对比表3-5。</w:t>
      </w:r>
    </w:p>
    <w:p>
      <w:pPr>
        <w:pStyle w:val="32"/>
        <w:ind w:firstLine="480"/>
        <w:rPr>
          <w:rFonts w:hint="default" w:ascii="Times New Roman" w:hAnsi="Times New Roman" w:cs="Times New Roman"/>
        </w:rPr>
      </w:pPr>
      <w:r>
        <w:rPr>
          <w:rFonts w:hint="default" w:ascii="Times New Roman" w:hAnsi="Times New Roman" w:cs="Times New Roman"/>
        </w:rPr>
        <w:t>表3-5  水土保持植物措施工程数量表</w:t>
      </w:r>
    </w:p>
    <w:tbl>
      <w:tblPr>
        <w:tblStyle w:val="46"/>
        <w:tblW w:w="8981"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41"/>
        <w:gridCol w:w="2225"/>
        <w:gridCol w:w="1720"/>
        <w:gridCol w:w="992"/>
        <w:gridCol w:w="1560"/>
        <w:gridCol w:w="164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c>
          <w:tcPr>
            <w:tcW w:w="841" w:type="dxa"/>
            <w:vAlign w:val="center"/>
          </w:tcPr>
          <w:p>
            <w:pPr>
              <w:pStyle w:val="158"/>
              <w:rPr>
                <w:rFonts w:hint="default" w:ascii="Times New Roman" w:hAnsi="Times New Roman" w:cs="Times New Roman"/>
                <w:lang w:val="zh-CN" w:eastAsia="zh-CN"/>
              </w:rPr>
            </w:pPr>
            <w:r>
              <w:rPr>
                <w:rFonts w:hint="default" w:ascii="Times New Roman" w:hAnsi="Times New Roman" w:cs="Times New Roman"/>
                <w:lang w:val="zh-CN" w:eastAsia="zh-CN"/>
              </w:rPr>
              <w:t>措施类别</w:t>
            </w:r>
          </w:p>
        </w:tc>
        <w:tc>
          <w:tcPr>
            <w:tcW w:w="2225" w:type="dxa"/>
            <w:vAlign w:val="center"/>
          </w:tcPr>
          <w:p>
            <w:pPr>
              <w:pStyle w:val="158"/>
              <w:rPr>
                <w:rFonts w:hint="default" w:ascii="Times New Roman" w:hAnsi="Times New Roman" w:cs="Times New Roman"/>
              </w:rPr>
            </w:pPr>
            <w:r>
              <w:rPr>
                <w:rFonts w:hint="default" w:ascii="Times New Roman" w:hAnsi="Times New Roman" w:cs="Times New Roman"/>
              </w:rPr>
              <w:t>分区</w:t>
            </w:r>
          </w:p>
        </w:tc>
        <w:tc>
          <w:tcPr>
            <w:tcW w:w="1720" w:type="dxa"/>
            <w:vAlign w:val="center"/>
          </w:tcPr>
          <w:p>
            <w:pPr>
              <w:pStyle w:val="158"/>
              <w:rPr>
                <w:rFonts w:hint="default" w:ascii="Times New Roman" w:hAnsi="Times New Roman" w:cs="Times New Roman"/>
                <w:lang w:val="zh-CN" w:eastAsia="zh-CN"/>
              </w:rPr>
            </w:pPr>
            <w:r>
              <w:rPr>
                <w:rFonts w:hint="default" w:ascii="Times New Roman" w:hAnsi="Times New Roman" w:cs="Times New Roman"/>
                <w:lang w:val="zh-CN" w:eastAsia="zh-CN"/>
              </w:rPr>
              <w:t>防护措施</w:t>
            </w:r>
          </w:p>
        </w:tc>
        <w:tc>
          <w:tcPr>
            <w:tcW w:w="992" w:type="dxa"/>
            <w:vAlign w:val="center"/>
          </w:tcPr>
          <w:p>
            <w:pPr>
              <w:pStyle w:val="158"/>
              <w:rPr>
                <w:rFonts w:hint="default" w:ascii="Times New Roman" w:hAnsi="Times New Roman" w:cs="Times New Roman"/>
                <w:lang w:val="zh-CN" w:eastAsia="zh-CN"/>
              </w:rPr>
            </w:pPr>
            <w:r>
              <w:rPr>
                <w:rFonts w:hint="default" w:ascii="Times New Roman" w:hAnsi="Times New Roman" w:cs="Times New Roman"/>
                <w:lang w:val="zh-CN" w:eastAsia="zh-CN"/>
              </w:rPr>
              <w:t>单位</w:t>
            </w:r>
          </w:p>
        </w:tc>
        <w:tc>
          <w:tcPr>
            <w:tcW w:w="1560" w:type="dxa"/>
            <w:vAlign w:val="center"/>
          </w:tcPr>
          <w:p>
            <w:pPr>
              <w:pStyle w:val="158"/>
              <w:rPr>
                <w:rFonts w:hint="default" w:ascii="Times New Roman" w:hAnsi="Times New Roman" w:cs="Times New Roman"/>
              </w:rPr>
            </w:pPr>
            <w:r>
              <w:rPr>
                <w:rFonts w:hint="default" w:ascii="Times New Roman" w:hAnsi="Times New Roman" w:cs="Times New Roman"/>
              </w:rPr>
              <w:t>设计工程量</w:t>
            </w:r>
          </w:p>
        </w:tc>
        <w:tc>
          <w:tcPr>
            <w:tcW w:w="1643" w:type="dxa"/>
            <w:vAlign w:val="center"/>
          </w:tcPr>
          <w:p>
            <w:pPr>
              <w:pStyle w:val="158"/>
              <w:rPr>
                <w:rFonts w:hint="default" w:ascii="Times New Roman" w:hAnsi="Times New Roman" w:cs="Times New Roman"/>
              </w:rPr>
            </w:pPr>
            <w:r>
              <w:rPr>
                <w:rFonts w:hint="default" w:ascii="Times New Roman" w:hAnsi="Times New Roman" w:cs="Times New Roman"/>
              </w:rPr>
              <w:t>实际工程量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14" w:hRule="atLeast"/>
        </w:trPr>
        <w:tc>
          <w:tcPr>
            <w:tcW w:w="841" w:type="dxa"/>
            <w:vAlign w:val="center"/>
          </w:tcPr>
          <w:p>
            <w:pPr>
              <w:pStyle w:val="158"/>
              <w:rPr>
                <w:rFonts w:hint="default" w:ascii="Times New Roman" w:hAnsi="Times New Roman" w:cs="Times New Roman"/>
                <w:lang w:val="zh-CN"/>
              </w:rPr>
            </w:pPr>
            <w:r>
              <w:rPr>
                <w:rFonts w:hint="default" w:ascii="Times New Roman" w:hAnsi="Times New Roman" w:cs="Times New Roman"/>
                <w:lang w:val="zh-CN" w:eastAsia="zh-CN"/>
              </w:rPr>
              <w:t>植物措施</w:t>
            </w:r>
          </w:p>
        </w:tc>
        <w:tc>
          <w:tcPr>
            <w:tcW w:w="2225" w:type="dxa"/>
            <w:vAlign w:val="center"/>
          </w:tcPr>
          <w:p>
            <w:pPr>
              <w:pStyle w:val="158"/>
              <w:rPr>
                <w:rFonts w:hint="default" w:ascii="Times New Roman" w:hAnsi="Times New Roman" w:cs="Times New Roman"/>
              </w:rPr>
            </w:pPr>
            <w:r>
              <w:rPr>
                <w:rFonts w:hint="default" w:ascii="Times New Roman" w:hAnsi="Times New Roman" w:cs="Times New Roman"/>
                <w:lang w:val="en-US" w:eastAsia="zh-CN"/>
              </w:rPr>
              <w:t>景观绿化区</w:t>
            </w:r>
          </w:p>
        </w:tc>
        <w:tc>
          <w:tcPr>
            <w:tcW w:w="1720" w:type="dxa"/>
            <w:vAlign w:val="center"/>
          </w:tcPr>
          <w:p>
            <w:pPr>
              <w:pStyle w:val="158"/>
              <w:rPr>
                <w:rFonts w:hint="default" w:ascii="Times New Roman" w:hAnsi="Times New Roman" w:cs="Times New Roman"/>
                <w:lang w:val="zh-CN" w:eastAsia="zh-CN"/>
              </w:rPr>
            </w:pPr>
            <w:r>
              <w:rPr>
                <w:rFonts w:hint="default" w:ascii="Times New Roman" w:hAnsi="Times New Roman" w:cs="Times New Roman"/>
                <w:lang w:val="zh-CN" w:eastAsia="zh-CN"/>
              </w:rPr>
              <w:t>种植灌木</w:t>
            </w:r>
            <w:r>
              <w:rPr>
                <w:rFonts w:hint="default" w:ascii="Times New Roman" w:hAnsi="Times New Roman" w:cs="Times New Roman"/>
                <w:lang w:val="zh-CN"/>
              </w:rPr>
              <w:t>，</w:t>
            </w:r>
            <w:r>
              <w:rPr>
                <w:rFonts w:hint="default" w:ascii="Times New Roman" w:hAnsi="Times New Roman" w:cs="Times New Roman"/>
                <w:lang w:val="zh-CN" w:eastAsia="zh-CN"/>
              </w:rPr>
              <w:t>撒播草种</w:t>
            </w:r>
          </w:p>
        </w:tc>
        <w:tc>
          <w:tcPr>
            <w:tcW w:w="992" w:type="dxa"/>
            <w:vAlign w:val="center"/>
          </w:tcPr>
          <w:p>
            <w:pPr>
              <w:pStyle w:val="158"/>
              <w:rPr>
                <w:rFonts w:hint="default" w:ascii="Times New Roman" w:hAnsi="Times New Roman" w:cs="Times New Roman"/>
                <w:lang w:val="zh-CN"/>
              </w:rPr>
            </w:pPr>
            <w:r>
              <w:rPr>
                <w:rFonts w:hint="default" w:ascii="Times New Roman" w:hAnsi="Times New Roman" w:cs="Times New Roman"/>
                <w:lang w:val="zh-CN"/>
              </w:rPr>
              <w:t>h</w:t>
            </w:r>
            <w:r>
              <w:rPr>
                <w:rFonts w:hint="default" w:ascii="Times New Roman" w:hAnsi="Times New Roman" w:cs="Times New Roman"/>
                <w:lang w:val="zh-CN" w:eastAsia="zh-CN"/>
              </w:rPr>
              <w:t>m</w:t>
            </w:r>
            <w:r>
              <w:rPr>
                <w:rFonts w:hint="default" w:ascii="Times New Roman" w:hAnsi="Times New Roman" w:cs="Times New Roman"/>
                <w:vertAlign w:val="superscript"/>
                <w:lang w:val="zh-CN"/>
              </w:rPr>
              <w:t>2</w:t>
            </w:r>
          </w:p>
        </w:tc>
        <w:tc>
          <w:tcPr>
            <w:tcW w:w="1560" w:type="dxa"/>
            <w:vAlign w:val="center"/>
          </w:tcPr>
          <w:p>
            <w:pPr>
              <w:pStyle w:val="158"/>
              <w:rPr>
                <w:rFonts w:hint="default" w:ascii="Times New Roman" w:hAnsi="Times New Roman" w:eastAsia="宋体" w:cs="Times New Roman"/>
                <w:lang w:val="en-US" w:eastAsia="zh-CN"/>
              </w:rPr>
            </w:pPr>
            <w:r>
              <w:rPr>
                <w:rFonts w:hint="default" w:ascii="Times New Roman" w:hAnsi="Times New Roman" w:cs="Times New Roman"/>
                <w:lang w:val="en-US" w:eastAsia="zh-CN"/>
              </w:rPr>
              <w:t>0.40</w:t>
            </w:r>
          </w:p>
        </w:tc>
        <w:tc>
          <w:tcPr>
            <w:tcW w:w="1643" w:type="dxa"/>
            <w:vAlign w:val="center"/>
          </w:tcPr>
          <w:p>
            <w:pPr>
              <w:pStyle w:val="158"/>
              <w:rPr>
                <w:rFonts w:hint="default" w:ascii="Times New Roman" w:hAnsi="Times New Roman" w:eastAsia="宋体" w:cs="Times New Roman"/>
                <w:lang w:val="en-US" w:eastAsia="zh-CN"/>
              </w:rPr>
            </w:pPr>
            <w:r>
              <w:rPr>
                <w:rFonts w:hint="default" w:ascii="Times New Roman" w:hAnsi="Times New Roman" w:cs="Times New Roman"/>
                <w:lang w:val="en-US" w:eastAsia="zh-CN"/>
              </w:rPr>
              <w:t>0.40</w:t>
            </w:r>
          </w:p>
        </w:tc>
      </w:tr>
    </w:tbl>
    <w:p>
      <w:pPr>
        <w:pStyle w:val="440"/>
        <w:ind w:firstLine="480"/>
        <w:rPr>
          <w:rFonts w:hint="default" w:ascii="Times New Roman" w:hAnsi="Times New Roman" w:cs="Times New Roman"/>
        </w:rPr>
      </w:pPr>
      <w:r>
        <w:rPr>
          <w:rFonts w:hint="default" w:ascii="Times New Roman" w:hAnsi="Times New Roman" w:cs="Times New Roman"/>
        </w:rPr>
        <w:t>本工程总工期</w:t>
      </w:r>
      <w:r>
        <w:rPr>
          <w:rFonts w:hint="default" w:ascii="Times New Roman" w:hAnsi="Times New Roman" w:cs="Times New Roman"/>
          <w:lang w:val="en-US" w:eastAsia="zh-CN"/>
        </w:rPr>
        <w:t>24</w:t>
      </w:r>
      <w:r>
        <w:rPr>
          <w:rFonts w:hint="default" w:ascii="Times New Roman" w:hAnsi="Times New Roman" w:cs="Times New Roman"/>
        </w:rPr>
        <w:t>个月，计划20</w:t>
      </w:r>
      <w:r>
        <w:rPr>
          <w:rFonts w:hint="default" w:ascii="Times New Roman" w:hAnsi="Times New Roman" w:cs="Times New Roman"/>
          <w:lang w:val="en-US" w:eastAsia="zh-CN"/>
        </w:rPr>
        <w:t>15</w:t>
      </w:r>
      <w:r>
        <w:rPr>
          <w:rFonts w:hint="default" w:ascii="Times New Roman" w:hAnsi="Times New Roman" w:cs="Times New Roman"/>
        </w:rPr>
        <w:t>年</w:t>
      </w:r>
      <w:r>
        <w:rPr>
          <w:rFonts w:hint="default" w:ascii="Times New Roman" w:hAnsi="Times New Roman" w:cs="Times New Roman"/>
          <w:lang w:val="en-US" w:eastAsia="zh-CN"/>
        </w:rPr>
        <w:t>9</w:t>
      </w:r>
      <w:r>
        <w:rPr>
          <w:rFonts w:hint="default" w:ascii="Times New Roman" w:hAnsi="Times New Roman" w:cs="Times New Roman"/>
        </w:rPr>
        <w:t>月开工，准备期1个月，施工期</w:t>
      </w:r>
      <w:r>
        <w:rPr>
          <w:rFonts w:hint="default" w:ascii="Times New Roman" w:hAnsi="Times New Roman" w:cs="Times New Roman"/>
          <w:lang w:val="en-US" w:eastAsia="zh-CN"/>
        </w:rPr>
        <w:t>24</w:t>
      </w:r>
      <w:r>
        <w:rPr>
          <w:rFonts w:hint="default" w:ascii="Times New Roman" w:hAnsi="Times New Roman" w:cs="Times New Roman"/>
        </w:rPr>
        <w:t>个月，竣工期1个月。</w:t>
      </w:r>
    </w:p>
    <w:p>
      <w:pPr>
        <w:pStyle w:val="440"/>
        <w:ind w:firstLine="480"/>
        <w:rPr>
          <w:rFonts w:hint="default" w:ascii="Times New Roman" w:hAnsi="Times New Roman" w:cs="Times New Roman"/>
        </w:rPr>
      </w:pPr>
      <w:r>
        <w:rPr>
          <w:rFonts w:hint="default" w:ascii="Times New Roman" w:hAnsi="Times New Roman" w:cs="Times New Roman"/>
        </w:rPr>
        <w:t>水土保持措施实施进度见表3-6。</w:t>
      </w:r>
    </w:p>
    <w:p>
      <w:pPr>
        <w:pStyle w:val="32"/>
        <w:ind w:firstLine="480"/>
        <w:rPr>
          <w:rFonts w:hint="default" w:ascii="Times New Roman" w:hAnsi="Times New Roman" w:cs="Times New Roman"/>
          <w:lang w:val="en-US" w:eastAsia="zh-CN"/>
        </w:rPr>
      </w:pPr>
      <w:r>
        <w:rPr>
          <w:rFonts w:hint="default" w:ascii="Times New Roman" w:hAnsi="Times New Roman" w:cs="Times New Roman"/>
        </w:rPr>
        <w:t>表3-6  水土保持</w:t>
      </w:r>
      <w:r>
        <w:rPr>
          <w:rFonts w:hint="default" w:ascii="Times New Roman" w:hAnsi="Times New Roman" w:cs="Times New Roman"/>
          <w:lang w:val="en-US" w:eastAsia="zh-CN"/>
        </w:rPr>
        <w:t>措施实施</w:t>
      </w:r>
      <w:r>
        <w:rPr>
          <w:rFonts w:hint="default" w:ascii="Times New Roman" w:hAnsi="Times New Roman" w:cs="Times New Roman"/>
        </w:rPr>
        <w:t>进度</w:t>
      </w:r>
      <w:r>
        <w:rPr>
          <w:rFonts w:hint="default" w:ascii="Times New Roman" w:hAnsi="Times New Roman" w:cs="Times New Roman"/>
          <w:lang w:val="en-US" w:eastAsia="zh-CN"/>
        </w:rPr>
        <w:t>表</w:t>
      </w:r>
    </w:p>
    <w:p>
      <w:pPr>
        <w:rPr>
          <w:rFonts w:hint="default" w:ascii="Times New Roman" w:hAnsi="Times New Roman" w:cs="Times New Roman"/>
          <w:lang w:val="en-US" w:eastAsia="zh-CN"/>
        </w:rPr>
      </w:pPr>
    </w:p>
    <w:tbl>
      <w:tblPr>
        <w:tblStyle w:val="46"/>
        <w:tblW w:w="6672"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1221"/>
        <w:gridCol w:w="518"/>
        <w:gridCol w:w="586"/>
        <w:gridCol w:w="468"/>
        <w:gridCol w:w="602"/>
        <w:gridCol w:w="689"/>
        <w:gridCol w:w="650"/>
        <w:gridCol w:w="638"/>
        <w:gridCol w:w="650"/>
        <w:gridCol w:w="65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1221" w:type="dxa"/>
            <w:vMerge w:val="restart"/>
            <w:vAlign w:val="center"/>
          </w:tcPr>
          <w:p>
            <w:pPr>
              <w:pStyle w:val="158"/>
              <w:keepNext w:val="0"/>
              <w:keepLines w:val="0"/>
              <w:suppressLineNumbers w:val="0"/>
              <w:spacing w:before="0" w:beforeAutospacing="0" w:afterAutospacing="0"/>
              <w:ind w:left="0" w:right="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工程项目</w:t>
            </w:r>
          </w:p>
        </w:tc>
        <w:tc>
          <w:tcPr>
            <w:tcW w:w="1572" w:type="dxa"/>
            <w:gridSpan w:val="3"/>
            <w:vAlign w:val="center"/>
          </w:tcPr>
          <w:p>
            <w:pPr>
              <w:pStyle w:val="158"/>
              <w:keepNext w:val="0"/>
              <w:keepLines w:val="0"/>
              <w:suppressLineNumbers w:val="0"/>
              <w:spacing w:before="0" w:beforeAutospacing="0" w:afterAutospacing="0"/>
              <w:ind w:left="0" w:right="0"/>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2015</w:t>
            </w:r>
          </w:p>
        </w:tc>
        <w:tc>
          <w:tcPr>
            <w:tcW w:w="1941" w:type="dxa"/>
            <w:gridSpan w:val="3"/>
            <w:vAlign w:val="center"/>
          </w:tcPr>
          <w:p>
            <w:pPr>
              <w:pStyle w:val="158"/>
              <w:keepNext w:val="0"/>
              <w:keepLines w:val="0"/>
              <w:suppressLineNumbers w:val="0"/>
              <w:spacing w:before="0" w:beforeAutospacing="0" w:afterAutospacing="0"/>
              <w:ind w:left="0" w:right="0"/>
              <w:rPr>
                <w:rFonts w:hint="default" w:ascii="Times New Roman" w:hAnsi="Times New Roman" w:eastAsia="仿宋" w:cs="Times New Roman"/>
                <w:color w:val="auto"/>
                <w:lang w:val="en-US" w:eastAsia="zh-CN"/>
              </w:rPr>
            </w:pPr>
            <w:r>
              <w:rPr>
                <w:rFonts w:hint="default" w:ascii="Times New Roman" w:hAnsi="Times New Roman" w:cs="Times New Roman"/>
                <w:color w:val="auto"/>
                <w:lang w:val="en-US" w:eastAsia="zh-CN"/>
              </w:rPr>
              <w:t>2016</w:t>
            </w:r>
          </w:p>
        </w:tc>
        <w:tc>
          <w:tcPr>
            <w:tcW w:w="1938" w:type="dxa"/>
            <w:gridSpan w:val="3"/>
          </w:tcPr>
          <w:p>
            <w:pPr>
              <w:pStyle w:val="158"/>
              <w:keepNext w:val="0"/>
              <w:keepLines w:val="0"/>
              <w:suppressLineNumbers w:val="0"/>
              <w:spacing w:before="0" w:beforeAutospacing="0" w:afterAutospacing="0"/>
              <w:ind w:left="0" w:right="0"/>
              <w:rPr>
                <w:rFonts w:hint="default" w:ascii="Times New Roman" w:hAnsi="Times New Roman" w:eastAsia="仿宋" w:cs="Times New Roman"/>
                <w:color w:val="auto"/>
                <w:lang w:val="en-US" w:eastAsia="zh-CN"/>
              </w:rPr>
            </w:pPr>
            <w:r>
              <w:rPr>
                <w:rFonts w:hint="default" w:ascii="Times New Roman" w:hAnsi="Times New Roman" w:cs="Times New Roman"/>
                <w:color w:val="auto"/>
                <w:lang w:val="en-US" w:eastAsia="zh-CN"/>
              </w:rPr>
              <w:t>2017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1221" w:type="dxa"/>
            <w:vMerge w:val="continue"/>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518" w:type="dxa"/>
            <w:vAlign w:val="center"/>
          </w:tcPr>
          <w:p>
            <w:pPr>
              <w:pStyle w:val="158"/>
              <w:keepNext w:val="0"/>
              <w:keepLines w:val="0"/>
              <w:suppressLineNumbers w:val="0"/>
              <w:spacing w:before="0" w:beforeAutospacing="0" w:afterAutospacing="0"/>
              <w:ind w:left="0" w:leftChars="0" w:right="0" w:rightChars="0"/>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~4</w:t>
            </w:r>
          </w:p>
        </w:tc>
        <w:tc>
          <w:tcPr>
            <w:tcW w:w="586" w:type="dxa"/>
            <w:vAlign w:val="center"/>
          </w:tcPr>
          <w:p>
            <w:pPr>
              <w:pStyle w:val="158"/>
              <w:keepNext w:val="0"/>
              <w:keepLines w:val="0"/>
              <w:suppressLineNumbers w:val="0"/>
              <w:spacing w:before="0" w:beforeAutospacing="0" w:afterAutospacing="0"/>
              <w:ind w:left="0" w:leftChars="0" w:right="0" w:right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5~8</w:t>
            </w:r>
          </w:p>
        </w:tc>
        <w:tc>
          <w:tcPr>
            <w:tcW w:w="468" w:type="dxa"/>
            <w:vAlign w:val="center"/>
          </w:tcPr>
          <w:p>
            <w:pPr>
              <w:pStyle w:val="158"/>
              <w:keepNext w:val="0"/>
              <w:keepLines w:val="0"/>
              <w:suppressLineNumbers w:val="0"/>
              <w:spacing w:before="0" w:beforeAutospacing="0" w:afterAutospacing="0"/>
              <w:ind w:left="0" w:leftChars="0" w:right="0" w:right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9~12</w:t>
            </w:r>
          </w:p>
        </w:tc>
        <w:tc>
          <w:tcPr>
            <w:tcW w:w="602" w:type="dxa"/>
            <w:vAlign w:val="center"/>
          </w:tcPr>
          <w:p>
            <w:pPr>
              <w:pStyle w:val="158"/>
              <w:keepNext w:val="0"/>
              <w:keepLines w:val="0"/>
              <w:suppressLineNumbers w:val="0"/>
              <w:spacing w:before="0" w:beforeAutospacing="0" w:afterAutospacing="0"/>
              <w:ind w:left="0" w:leftChars="0" w:right="0" w:rightChars="0"/>
              <w:rPr>
                <w:rFonts w:hint="default" w:ascii="Times New Roman" w:hAnsi="Times New Roman" w:cs="Times New Roman"/>
                <w:color w:val="auto"/>
                <w:lang w:val="en-US" w:eastAsia="zh-CN"/>
              </w:rPr>
            </w:pPr>
            <w:r>
              <w:rPr>
                <w:rFonts w:hint="default" w:ascii="Times New Roman" w:hAnsi="Times New Roman" w:cs="Times New Roman"/>
                <w:color w:val="auto"/>
              </w:rPr>
              <w:t>1</w:t>
            </w:r>
            <w:r>
              <w:rPr>
                <w:rFonts w:hint="default" w:ascii="Times New Roman" w:hAnsi="Times New Roman" w:cs="Times New Roman"/>
                <w:color w:val="auto"/>
                <w:lang w:val="en-US" w:eastAsia="zh-CN"/>
              </w:rPr>
              <w:t>~4</w:t>
            </w:r>
          </w:p>
        </w:tc>
        <w:tc>
          <w:tcPr>
            <w:tcW w:w="689" w:type="dxa"/>
            <w:vAlign w:val="center"/>
          </w:tcPr>
          <w:p>
            <w:pPr>
              <w:pStyle w:val="158"/>
              <w:keepNext w:val="0"/>
              <w:keepLines w:val="0"/>
              <w:suppressLineNumbers w:val="0"/>
              <w:spacing w:before="0" w:beforeAutospacing="0" w:afterAutospacing="0"/>
              <w:ind w:left="0" w:leftChars="0" w:right="0" w:right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5~8</w:t>
            </w:r>
          </w:p>
        </w:tc>
        <w:tc>
          <w:tcPr>
            <w:tcW w:w="650" w:type="dxa"/>
            <w:vAlign w:val="center"/>
          </w:tcPr>
          <w:p>
            <w:pPr>
              <w:pStyle w:val="158"/>
              <w:keepNext w:val="0"/>
              <w:keepLines w:val="0"/>
              <w:suppressLineNumbers w:val="0"/>
              <w:spacing w:before="0" w:beforeAutospacing="0" w:afterAutospacing="0"/>
              <w:ind w:left="0" w:leftChars="0" w:right="0" w:right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9~12</w:t>
            </w:r>
          </w:p>
        </w:tc>
        <w:tc>
          <w:tcPr>
            <w:tcW w:w="638" w:type="dxa"/>
            <w:vAlign w:val="center"/>
          </w:tcPr>
          <w:p>
            <w:pPr>
              <w:pStyle w:val="158"/>
              <w:keepNext w:val="0"/>
              <w:keepLines w:val="0"/>
              <w:suppressLineNumbers w:val="0"/>
              <w:spacing w:before="0" w:beforeAutospacing="0" w:afterAutospacing="0"/>
              <w:ind w:left="0" w:leftChars="0" w:right="0" w:rightChars="0"/>
              <w:rPr>
                <w:rFonts w:hint="default" w:ascii="Times New Roman" w:hAnsi="Times New Roman" w:cs="Times New Roman"/>
                <w:color w:val="auto"/>
                <w:lang w:val="en-US" w:eastAsia="zh-CN"/>
              </w:rPr>
            </w:pPr>
            <w:r>
              <w:rPr>
                <w:rFonts w:hint="default" w:ascii="Times New Roman" w:hAnsi="Times New Roman" w:cs="Times New Roman"/>
                <w:color w:val="auto"/>
              </w:rPr>
              <w:t>1</w:t>
            </w:r>
            <w:r>
              <w:rPr>
                <w:rFonts w:hint="default" w:ascii="Times New Roman" w:hAnsi="Times New Roman" w:cs="Times New Roman"/>
                <w:color w:val="auto"/>
                <w:lang w:val="en-US" w:eastAsia="zh-CN"/>
              </w:rPr>
              <w:t>~4</w:t>
            </w:r>
          </w:p>
        </w:tc>
        <w:tc>
          <w:tcPr>
            <w:tcW w:w="650" w:type="dxa"/>
            <w:vAlign w:val="center"/>
          </w:tcPr>
          <w:p>
            <w:pPr>
              <w:pStyle w:val="158"/>
              <w:keepNext w:val="0"/>
              <w:keepLines w:val="0"/>
              <w:suppressLineNumbers w:val="0"/>
              <w:spacing w:before="0" w:beforeAutospacing="0" w:afterAutospacing="0"/>
              <w:ind w:left="0" w:leftChars="0" w:right="0" w:right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5~8</w:t>
            </w:r>
          </w:p>
        </w:tc>
        <w:tc>
          <w:tcPr>
            <w:tcW w:w="650" w:type="dxa"/>
            <w:vAlign w:val="center"/>
          </w:tcPr>
          <w:p>
            <w:pPr>
              <w:pStyle w:val="158"/>
              <w:keepNext w:val="0"/>
              <w:keepLines w:val="0"/>
              <w:suppressLineNumbers w:val="0"/>
              <w:spacing w:before="0" w:beforeAutospacing="0" w:afterAutospacing="0"/>
              <w:ind w:left="0" w:leftChars="0" w:right="0" w:right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9~12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359" w:hRule="atLeast"/>
          <w:jc w:val="center"/>
        </w:trPr>
        <w:tc>
          <w:tcPr>
            <w:tcW w:w="1221"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r>
              <w:rPr>
                <w:rFonts w:hint="default" w:ascii="Times New Roman" w:hAnsi="Times New Roman" w:cs="Times New Roman"/>
                <w:color w:val="auto"/>
              </w:rPr>
              <w:t>准备期</w:t>
            </w:r>
          </w:p>
        </w:tc>
        <w:tc>
          <w:tcPr>
            <w:tcW w:w="518"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586"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r>
              <w:rPr>
                <w:rFonts w:hint="default" w:ascii="Times New Roman" w:hAnsi="Times New Roman" w:cs="Times New Roman"/>
                <w:color w:val="auto"/>
              </w:rPr>
              <w:pict>
                <v:shape id="_x0000_s2076" o:spid="_x0000_s2076" o:spt="32" type="#_x0000_t32" style="position:absolute;left:0pt;margin-left:20.85pt;margin-top:11pt;height:0.5pt;width:15.3pt;z-index:272948224;mso-width-relative:page;mso-height-relative:page;" filled="f" stroked="t" coordsize="21600,21600">
                  <v:path arrowok="t"/>
                  <v:fill on="f" focussize="0,0"/>
                  <v:stroke weight="2pt" color="#000000"/>
                  <v:imagedata o:title=""/>
                  <o:lock v:ext="edit" aspectratio="f"/>
                </v:shape>
              </w:pict>
            </w:r>
          </w:p>
        </w:tc>
        <w:tc>
          <w:tcPr>
            <w:tcW w:w="468"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02"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89"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50"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38"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50"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50"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1221"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r>
              <w:rPr>
                <w:rFonts w:hint="default" w:ascii="Times New Roman" w:hAnsi="Times New Roman" w:cs="Times New Roman"/>
                <w:color w:val="auto"/>
              </w:rPr>
              <w:t>建构筑物工程区</w:t>
            </w:r>
          </w:p>
        </w:tc>
        <w:tc>
          <w:tcPr>
            <w:tcW w:w="518"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586"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r>
              <w:rPr>
                <w:rFonts w:hint="default" w:ascii="Times New Roman" w:hAnsi="Times New Roman" w:cs="Times New Roman"/>
                <w:color w:val="auto"/>
              </w:rPr>
              <w:pict>
                <v:shape id="_x0000_s2077" o:spid="_x0000_s2077" o:spt="32" type="#_x0000_t32" style="position:absolute;left:0pt;margin-left:28.7pt;margin-top:11.55pt;height:0.55pt;width:140.95pt;z-index:272949248;mso-width-relative:page;mso-height-relative:page;" filled="f" stroked="t" coordsize="21600,21600">
                  <v:path arrowok="t"/>
                  <v:fill on="f" focussize="0,0"/>
                  <v:stroke weight="2pt" color="#000000"/>
                  <v:imagedata o:title=""/>
                  <o:lock v:ext="edit" aspectratio="f"/>
                </v:shape>
              </w:pict>
            </w:r>
          </w:p>
        </w:tc>
        <w:tc>
          <w:tcPr>
            <w:tcW w:w="468"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r>
              <w:rPr>
                <w:rFonts w:hint="default" w:ascii="Times New Roman" w:hAnsi="Times New Roman" w:cs="Times New Roman"/>
                <w:color w:val="auto"/>
              </w:rPr>
              <w:pict>
                <v:shape id="自选图形 416" o:spid="_x0000_s2071" o:spt="32" type="#_x0000_t32" style="position:absolute;left:0pt;flip:y;margin-left:1.45pt;margin-top:20.4pt;height:0.25pt;width:139.75pt;z-index:269816832;mso-width-relative:page;mso-height-relative:page;" filled="f" stroked="t" coordsize="21600,21600">
                  <v:path arrowok="t"/>
                  <v:fill on="f" focussize="0,0"/>
                  <v:stroke weight="2pt" color="#000000" dashstyle="dash"/>
                  <v:imagedata o:title=""/>
                  <o:lock v:ext="edit" aspectratio="f"/>
                </v:shape>
              </w:pict>
            </w:r>
          </w:p>
        </w:tc>
        <w:tc>
          <w:tcPr>
            <w:tcW w:w="602"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89"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50"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38"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50"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50"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1221"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r>
              <w:rPr>
                <w:rFonts w:hint="default" w:ascii="Times New Roman" w:hAnsi="Times New Roman" w:cs="Times New Roman"/>
                <w:color w:val="auto"/>
              </w:rPr>
              <w:t>道路广场工程区</w:t>
            </w:r>
          </w:p>
        </w:tc>
        <w:tc>
          <w:tcPr>
            <w:tcW w:w="518"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586"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468"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02"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89"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r>
              <w:rPr>
                <w:rFonts w:hint="default" w:ascii="Times New Roman" w:hAnsi="Times New Roman" w:cs="Times New Roman"/>
                <w:color w:val="auto"/>
              </w:rPr>
              <w:pict>
                <v:shape id="_x0000_s2081" o:spid="_x0000_s2081" o:spt="32" type="#_x0000_t32" style="position:absolute;left:0pt;flip:y;margin-left:23.7pt;margin-top:17.15pt;height:0.25pt;width:90.25pt;z-index:294242304;mso-width-relative:page;mso-height-relative:page;" filled="f" stroked="t" coordsize="21600,21600">
                  <v:path arrowok="t"/>
                  <v:fill on="f" focussize="0,0"/>
                  <v:stroke weight="2pt" color="#000000" dashstyle="dash"/>
                  <v:imagedata o:title=""/>
                  <o:lock v:ext="edit" aspectratio="f"/>
                </v:shape>
              </w:pict>
            </w:r>
            <w:r>
              <w:rPr>
                <w:rFonts w:hint="default" w:ascii="Times New Roman" w:hAnsi="Times New Roman" w:cs="Times New Roman"/>
                <w:color w:val="auto"/>
              </w:rPr>
              <w:pict>
                <v:shape id="_x0000_s2078" o:spid="_x0000_s2078" o:spt="32" type="#_x0000_t32" style="position:absolute;left:0pt;margin-left:22.45pt;margin-top:10.6pt;height:0pt;width:91.6pt;z-index:272950272;mso-width-relative:page;mso-height-relative:page;" filled="f" stroked="t" coordsize="21600,21600">
                  <v:path arrowok="t"/>
                  <v:fill on="f" focussize="0,0"/>
                  <v:stroke weight="2pt" color="#000000"/>
                  <v:imagedata o:title=""/>
                  <o:lock v:ext="edit" aspectratio="f"/>
                </v:shape>
              </w:pict>
            </w:r>
          </w:p>
        </w:tc>
        <w:tc>
          <w:tcPr>
            <w:tcW w:w="650"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38"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50"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50"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1221"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r>
              <w:rPr>
                <w:rFonts w:hint="default" w:ascii="Times New Roman" w:hAnsi="Times New Roman" w:cs="Times New Roman"/>
                <w:color w:val="auto"/>
              </w:rPr>
              <w:t>景观绿化工程区</w:t>
            </w:r>
          </w:p>
        </w:tc>
        <w:tc>
          <w:tcPr>
            <w:tcW w:w="518"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586"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468"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02"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89"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50"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38"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r>
              <w:rPr>
                <w:rFonts w:hint="default" w:ascii="Times New Roman" w:hAnsi="Times New Roman" w:cs="Times New Roman"/>
                <w:color w:val="auto"/>
              </w:rPr>
              <w:pict>
                <v:shape id="_x0000_s2082" o:spid="_x0000_s2082" o:spt="32" type="#_x0000_t32" style="position:absolute;left:0pt;flip:y;margin-left:2.5pt;margin-top:17.7pt;height:0.25pt;width:60.25pt;z-index:336827392;mso-width-relative:page;mso-height-relative:page;" filled="f" stroked="t" coordsize="21600,21600">
                  <v:path arrowok="t"/>
                  <v:fill on="f" focussize="0,0"/>
                  <v:stroke weight="2pt" color="#000000" dashstyle="dash"/>
                  <v:imagedata o:title=""/>
                  <o:lock v:ext="edit" aspectratio="f"/>
                </v:shape>
              </w:pict>
            </w:r>
            <w:r>
              <w:rPr>
                <w:rFonts w:hint="default" w:ascii="Times New Roman" w:hAnsi="Times New Roman" w:cs="Times New Roman"/>
                <w:color w:val="auto"/>
              </w:rPr>
              <w:pict>
                <v:shape id="_x0000_s2079" o:spid="_x0000_s2079" o:spt="32" type="#_x0000_t32" style="position:absolute;left:0pt;margin-left:-0.2pt;margin-top:9.8pt;height:0.1pt;width:61.05pt;z-index:272951296;mso-width-relative:page;mso-height-relative:page;" filled="f" coordsize="21600,21600">
                  <v:path arrowok="t"/>
                  <v:fill on="f" focussize="0,0"/>
                  <v:stroke weight="2pt"/>
                  <v:imagedata o:title=""/>
                  <o:lock v:ext="edit"/>
                </v:shape>
              </w:pict>
            </w:r>
          </w:p>
        </w:tc>
        <w:tc>
          <w:tcPr>
            <w:tcW w:w="650"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50"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1221"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r>
              <w:rPr>
                <w:rFonts w:hint="default" w:ascii="Times New Roman" w:hAnsi="Times New Roman" w:cs="Times New Roman"/>
                <w:color w:val="auto"/>
              </w:rPr>
              <w:t>竣工期</w:t>
            </w:r>
          </w:p>
        </w:tc>
        <w:tc>
          <w:tcPr>
            <w:tcW w:w="518"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586"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468"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02" w:type="dxa"/>
            <w:vAlign w:val="center"/>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89"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50"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38"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c>
          <w:tcPr>
            <w:tcW w:w="650"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r>
              <w:rPr>
                <w:rFonts w:hint="default" w:ascii="Times New Roman" w:hAnsi="Times New Roman" w:cs="Times New Roman"/>
                <w:color w:val="auto"/>
              </w:rPr>
              <w:pict>
                <v:shape id="_x0000_s2080" o:spid="_x0000_s2080" o:spt="32" type="#_x0000_t32" style="position:absolute;left:0pt;margin-left:22.95pt;margin-top:7.35pt;height:0.5pt;width:15.3pt;z-index:276082688;mso-width-relative:page;mso-height-relative:page;" filled="f" stroked="t" coordsize="21600,21600">
                  <v:path arrowok="t"/>
                  <v:fill on="f" focussize="0,0"/>
                  <v:stroke weight="2pt" color="#000000"/>
                  <v:imagedata o:title=""/>
                  <o:lock v:ext="edit" aspectratio="f"/>
                </v:shape>
              </w:pict>
            </w:r>
          </w:p>
        </w:tc>
        <w:tc>
          <w:tcPr>
            <w:tcW w:w="650" w:type="dxa"/>
          </w:tcPr>
          <w:p>
            <w:pPr>
              <w:pStyle w:val="158"/>
              <w:keepNext w:val="0"/>
              <w:keepLines w:val="0"/>
              <w:suppressLineNumbers w:val="0"/>
              <w:spacing w:before="0" w:beforeAutospacing="0" w:afterAutospacing="0"/>
              <w:ind w:left="0" w:right="0"/>
              <w:rPr>
                <w:rFonts w:hint="default" w:ascii="Times New Roman" w:hAnsi="Times New Roman" w:cs="Times New Roman"/>
                <w:color w:val="auto"/>
              </w:rPr>
            </w:pPr>
          </w:p>
        </w:tc>
      </w:tr>
    </w:tbl>
    <w:p>
      <w:pPr>
        <w:rPr>
          <w:rFonts w:hint="default" w:ascii="Times New Roman" w:hAnsi="Times New Roman" w:cs="Times New Roman"/>
          <w:lang w:val="en-US" w:eastAsia="zh-CN"/>
        </w:rPr>
      </w:pPr>
    </w:p>
    <w:p>
      <w:pPr>
        <w:pStyle w:val="3"/>
        <w:rPr>
          <w:rFonts w:hint="default" w:ascii="Times New Roman" w:hAnsi="Times New Roman" w:cs="Times New Roman"/>
        </w:rPr>
      </w:pPr>
      <w:bookmarkStart w:id="47" w:name="_Toc502049582"/>
      <w:r>
        <w:rPr>
          <w:rFonts w:hint="default" w:ascii="Times New Roman" w:hAnsi="Times New Roman" w:cs="Times New Roman"/>
        </w:rPr>
        <w:t>3.6水土保持投资完成情况</w:t>
      </w:r>
      <w:bookmarkEnd w:id="47"/>
    </w:p>
    <w:p>
      <w:pPr>
        <w:pStyle w:val="440"/>
        <w:ind w:firstLine="480"/>
        <w:rPr>
          <w:rFonts w:hint="default" w:ascii="Times New Roman" w:hAnsi="Times New Roman" w:cs="Times New Roman"/>
        </w:rPr>
      </w:pPr>
      <w:r>
        <w:rPr>
          <w:rFonts w:hint="default" w:ascii="Times New Roman" w:hAnsi="Times New Roman" w:cs="Times New Roman"/>
        </w:rPr>
        <w:t>由于本次验收包括项目</w:t>
      </w:r>
      <w:r>
        <w:rPr>
          <w:rFonts w:hint="default" w:ascii="Times New Roman" w:hAnsi="Times New Roman" w:cs="Times New Roman"/>
          <w:lang w:val="en-US" w:eastAsia="zh-CN"/>
        </w:rPr>
        <w:t>主体建筑区、道路广场区和景观绿化区</w:t>
      </w:r>
      <w:r>
        <w:rPr>
          <w:rFonts w:hint="default" w:ascii="Times New Roman" w:hAnsi="Times New Roman" w:cs="Times New Roman"/>
        </w:rPr>
        <w:t>的防治责任范围，此</w:t>
      </w:r>
      <w:r>
        <w:rPr>
          <w:rFonts w:hint="default" w:ascii="Times New Roman" w:hAnsi="Times New Roman" w:cs="Times New Roman"/>
          <w:color w:val="auto"/>
        </w:rPr>
        <w:t>范围水土保持工程实际完成投资</w:t>
      </w:r>
      <w:r>
        <w:rPr>
          <w:rFonts w:hint="eastAsia" w:ascii="Times New Roman" w:hAnsi="Times New Roman" w:cs="Times New Roman"/>
          <w:color w:val="auto"/>
          <w:lang w:val="en-US" w:eastAsia="zh-CN"/>
        </w:rPr>
        <w:t>207.24</w:t>
      </w:r>
      <w:r>
        <w:rPr>
          <w:rFonts w:hint="default" w:ascii="Times New Roman" w:hAnsi="Times New Roman" w:cs="Times New Roman"/>
          <w:color w:val="auto"/>
        </w:rPr>
        <w:t>万元，与批复的水土保持方案投资减少了</w:t>
      </w:r>
      <w:r>
        <w:rPr>
          <w:rFonts w:hint="eastAsia" w:ascii="Times New Roman" w:hAnsi="Times New Roman" w:cs="Times New Roman"/>
          <w:color w:val="auto"/>
          <w:lang w:val="en-US" w:eastAsia="zh-CN"/>
        </w:rPr>
        <w:t>15.60</w:t>
      </w:r>
      <w:r>
        <w:rPr>
          <w:rFonts w:hint="default" w:ascii="Times New Roman" w:hAnsi="Times New Roman" w:cs="Times New Roman"/>
          <w:color w:val="auto"/>
        </w:rPr>
        <w:t>万元，投资变</w:t>
      </w:r>
      <w:r>
        <w:rPr>
          <w:rFonts w:hint="default" w:ascii="Times New Roman" w:hAnsi="Times New Roman" w:cs="Times New Roman"/>
        </w:rPr>
        <w:t>化的主要原因有以下几点：</w:t>
      </w:r>
    </w:p>
    <w:p>
      <w:pPr>
        <w:pStyle w:val="440"/>
        <w:numPr>
          <w:ilvl w:val="0"/>
          <w:numId w:val="3"/>
        </w:numPr>
        <w:ind w:firstLine="480"/>
        <w:rPr>
          <w:rFonts w:hint="default" w:ascii="Times New Roman" w:hAnsi="Times New Roman" w:cs="Times New Roman"/>
        </w:rPr>
      </w:pPr>
      <w:r>
        <w:rPr>
          <w:rFonts w:hint="default" w:ascii="Times New Roman" w:hAnsi="Times New Roman" w:cs="Times New Roman"/>
        </w:rPr>
        <w:t>本次施工过程未发生设计变更及工程建设不可预见费，故未产生基本预备费。</w:t>
      </w:r>
    </w:p>
    <w:p>
      <w:pPr>
        <w:pStyle w:val="440"/>
        <w:numPr>
          <w:ilvl w:val="0"/>
          <w:numId w:val="3"/>
        </w:numPr>
        <w:ind w:firstLine="480"/>
        <w:rPr>
          <w:rFonts w:hint="default" w:ascii="Times New Roman" w:hAnsi="Times New Roman" w:cs="Times New Roman"/>
        </w:rPr>
      </w:pPr>
      <w:r>
        <w:rPr>
          <w:rFonts w:hint="eastAsia"/>
          <w:lang w:val="en-US" w:eastAsia="zh-CN"/>
        </w:rPr>
        <w:t>实际植物种植方案与设计有所减少。</w:t>
      </w:r>
    </w:p>
    <w:p>
      <w:pPr>
        <w:pStyle w:val="32"/>
        <w:rPr>
          <w:rFonts w:hint="default" w:ascii="Times New Roman" w:hAnsi="Times New Roman" w:cs="Times New Roman"/>
        </w:rPr>
      </w:pPr>
      <w:r>
        <w:rPr>
          <w:rFonts w:hint="default" w:ascii="Times New Roman" w:hAnsi="Times New Roman" w:cs="Times New Roman"/>
        </w:rPr>
        <w:t>表3-7  工程水土保持措施投资完成情况表  单位：万元</w:t>
      </w:r>
    </w:p>
    <w:tbl>
      <w:tblPr>
        <w:tblStyle w:val="46"/>
        <w:tblW w:w="8981"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42"/>
        <w:gridCol w:w="3194"/>
        <w:gridCol w:w="1133"/>
        <w:gridCol w:w="993"/>
        <w:gridCol w:w="850"/>
        <w:gridCol w:w="206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06" w:hRule="atLeast"/>
          <w:tblHeader/>
        </w:trPr>
        <w:tc>
          <w:tcPr>
            <w:tcW w:w="742" w:type="dxa"/>
            <w:vAlign w:val="center"/>
          </w:tcPr>
          <w:p>
            <w:pPr>
              <w:pStyle w:val="465"/>
              <w:rPr>
                <w:rFonts w:hint="default" w:ascii="Times New Roman" w:hAnsi="Times New Roman" w:cs="Times New Roman"/>
              </w:rPr>
            </w:pPr>
            <w:r>
              <w:rPr>
                <w:rFonts w:hint="default" w:ascii="Times New Roman" w:hAnsi="Times New Roman" w:cs="Times New Roman"/>
              </w:rPr>
              <w:t>序号</w:t>
            </w:r>
          </w:p>
        </w:tc>
        <w:tc>
          <w:tcPr>
            <w:tcW w:w="3194" w:type="dxa"/>
            <w:vAlign w:val="center"/>
          </w:tcPr>
          <w:p>
            <w:pPr>
              <w:pStyle w:val="465"/>
              <w:rPr>
                <w:rFonts w:hint="default" w:ascii="Times New Roman" w:hAnsi="Times New Roman" w:cs="Times New Roman"/>
              </w:rPr>
            </w:pPr>
            <w:r>
              <w:rPr>
                <w:rFonts w:hint="default" w:ascii="Times New Roman" w:hAnsi="Times New Roman" w:cs="Times New Roman"/>
              </w:rPr>
              <w:t>项目</w:t>
            </w:r>
          </w:p>
        </w:tc>
        <w:tc>
          <w:tcPr>
            <w:tcW w:w="1133" w:type="dxa"/>
            <w:vAlign w:val="center"/>
          </w:tcPr>
          <w:p>
            <w:pPr>
              <w:pStyle w:val="465"/>
              <w:rPr>
                <w:rFonts w:hint="default" w:ascii="Times New Roman" w:hAnsi="Times New Roman" w:cs="Times New Roman"/>
              </w:rPr>
            </w:pPr>
            <w:r>
              <w:rPr>
                <w:rFonts w:hint="default" w:ascii="Times New Roman" w:hAnsi="Times New Roman" w:cs="Times New Roman"/>
              </w:rPr>
              <w:t>方案设计投资</w:t>
            </w:r>
          </w:p>
        </w:tc>
        <w:tc>
          <w:tcPr>
            <w:tcW w:w="993" w:type="dxa"/>
            <w:vAlign w:val="center"/>
          </w:tcPr>
          <w:p>
            <w:pPr>
              <w:pStyle w:val="465"/>
              <w:rPr>
                <w:rFonts w:hint="default" w:ascii="Times New Roman" w:hAnsi="Times New Roman" w:cs="Times New Roman"/>
              </w:rPr>
            </w:pPr>
            <w:r>
              <w:rPr>
                <w:rFonts w:hint="default" w:ascii="Times New Roman" w:hAnsi="Times New Roman" w:cs="Times New Roman"/>
              </w:rPr>
              <w:t>实际完成投资</w:t>
            </w:r>
          </w:p>
        </w:tc>
        <w:tc>
          <w:tcPr>
            <w:tcW w:w="850" w:type="dxa"/>
            <w:vAlign w:val="center"/>
          </w:tcPr>
          <w:p>
            <w:pPr>
              <w:pStyle w:val="465"/>
              <w:rPr>
                <w:rFonts w:hint="default" w:ascii="Times New Roman" w:hAnsi="Times New Roman" w:cs="Times New Roman"/>
              </w:rPr>
            </w:pPr>
            <w:r>
              <w:rPr>
                <w:rFonts w:hint="default" w:ascii="Times New Roman" w:hAnsi="Times New Roman" w:cs="Times New Roman"/>
              </w:rPr>
              <w:t>增减情况</w:t>
            </w:r>
          </w:p>
        </w:tc>
        <w:tc>
          <w:tcPr>
            <w:tcW w:w="2069" w:type="dxa"/>
            <w:vAlign w:val="center"/>
          </w:tcPr>
          <w:p>
            <w:pPr>
              <w:pStyle w:val="465"/>
              <w:rPr>
                <w:rFonts w:hint="default" w:ascii="Times New Roman" w:hAnsi="Times New Roman" w:cs="Times New Roman"/>
              </w:rPr>
            </w:pPr>
            <w:r>
              <w:rPr>
                <w:rFonts w:hint="default" w:ascii="Times New Roman" w:hAnsi="Times New Roman" w:cs="Times New Roman"/>
              </w:rPr>
              <w:t>原因分析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42" w:type="dxa"/>
            <w:vAlign w:val="center"/>
          </w:tcPr>
          <w:p>
            <w:pPr>
              <w:pStyle w:val="465"/>
              <w:rPr>
                <w:rFonts w:hint="default" w:ascii="Times New Roman" w:hAnsi="Times New Roman" w:cs="Times New Roman"/>
                <w:b/>
              </w:rPr>
            </w:pPr>
            <w:r>
              <w:rPr>
                <w:rFonts w:hint="default" w:ascii="Times New Roman" w:hAnsi="Times New Roman" w:cs="Times New Roman"/>
                <w:b/>
              </w:rPr>
              <w:t>一</w:t>
            </w:r>
          </w:p>
        </w:tc>
        <w:tc>
          <w:tcPr>
            <w:tcW w:w="3194" w:type="dxa"/>
            <w:vAlign w:val="center"/>
          </w:tcPr>
          <w:p>
            <w:pPr>
              <w:pStyle w:val="465"/>
              <w:rPr>
                <w:rFonts w:hint="default" w:ascii="Times New Roman" w:hAnsi="Times New Roman" w:cs="Times New Roman"/>
                <w:b/>
              </w:rPr>
            </w:pPr>
            <w:r>
              <w:rPr>
                <w:rFonts w:hint="default" w:ascii="Times New Roman" w:hAnsi="Times New Roman" w:cs="Times New Roman"/>
                <w:b/>
              </w:rPr>
              <w:t>主体工程具有水土保持功能措施</w:t>
            </w:r>
          </w:p>
        </w:tc>
        <w:tc>
          <w:tcPr>
            <w:tcW w:w="1133" w:type="dxa"/>
            <w:vAlign w:val="center"/>
          </w:tcPr>
          <w:p>
            <w:pPr>
              <w:pStyle w:val="465"/>
              <w:rPr>
                <w:rFonts w:hint="default" w:ascii="Times New Roman" w:hAnsi="Times New Roman" w:eastAsia="宋体" w:cs="Times New Roman"/>
                <w:lang w:val="en-US" w:eastAsia="zh-CN"/>
              </w:rPr>
            </w:pPr>
            <w:r>
              <w:rPr>
                <w:rFonts w:hint="default" w:ascii="Times New Roman" w:hAnsi="Times New Roman" w:cs="Times New Roman"/>
                <w:lang w:val="en-US" w:eastAsia="zh-CN"/>
              </w:rPr>
              <w:t>98.2</w:t>
            </w:r>
          </w:p>
        </w:tc>
        <w:tc>
          <w:tcPr>
            <w:tcW w:w="993" w:type="dxa"/>
            <w:vAlign w:val="center"/>
          </w:tcPr>
          <w:p>
            <w:pPr>
              <w:pStyle w:val="465"/>
              <w:rPr>
                <w:rFonts w:hint="default" w:ascii="Times New Roman" w:hAnsi="Times New Roman" w:eastAsia="宋体" w:cs="Times New Roman"/>
                <w:lang w:val="en-US" w:eastAsia="zh-CN"/>
              </w:rPr>
            </w:pPr>
            <w:r>
              <w:rPr>
                <w:rFonts w:hint="default" w:ascii="Times New Roman" w:hAnsi="Times New Roman" w:cs="Times New Roman"/>
                <w:lang w:val="en-US" w:eastAsia="zh-CN"/>
              </w:rPr>
              <w:t>98.2</w:t>
            </w:r>
          </w:p>
        </w:tc>
        <w:tc>
          <w:tcPr>
            <w:tcW w:w="850" w:type="dxa"/>
            <w:vAlign w:val="center"/>
          </w:tcPr>
          <w:p>
            <w:pPr>
              <w:pStyle w:val="465"/>
              <w:rPr>
                <w:rFonts w:hint="default" w:ascii="Times New Roman" w:hAnsi="Times New Roman" w:cs="Times New Roman"/>
              </w:rPr>
            </w:pPr>
          </w:p>
        </w:tc>
        <w:tc>
          <w:tcPr>
            <w:tcW w:w="2069" w:type="dxa"/>
            <w:vAlign w:val="center"/>
          </w:tcPr>
          <w:p>
            <w:pPr>
              <w:pStyle w:val="465"/>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42" w:type="dxa"/>
            <w:vAlign w:val="center"/>
          </w:tcPr>
          <w:p>
            <w:pPr>
              <w:pStyle w:val="465"/>
              <w:rPr>
                <w:rFonts w:hint="default" w:ascii="Times New Roman" w:hAnsi="Times New Roman" w:cs="Times New Roman"/>
              </w:rPr>
            </w:pPr>
          </w:p>
        </w:tc>
        <w:tc>
          <w:tcPr>
            <w:tcW w:w="3194" w:type="dxa"/>
            <w:vAlign w:val="center"/>
          </w:tcPr>
          <w:p>
            <w:pPr>
              <w:pStyle w:val="465"/>
              <w:rPr>
                <w:rFonts w:hint="default" w:ascii="Times New Roman" w:hAnsi="Times New Roman" w:cs="Times New Roman"/>
              </w:rPr>
            </w:pPr>
            <w:r>
              <w:rPr>
                <w:rFonts w:hint="default" w:ascii="Times New Roman" w:hAnsi="Times New Roman" w:cs="Times New Roman"/>
              </w:rPr>
              <w:t>第一部分 工程措施</w:t>
            </w:r>
          </w:p>
        </w:tc>
        <w:tc>
          <w:tcPr>
            <w:tcW w:w="1133" w:type="dxa"/>
            <w:vAlign w:val="center"/>
          </w:tcPr>
          <w:p>
            <w:pPr>
              <w:widowControl/>
              <w:adjustRightInd/>
              <w:snapToGrid/>
              <w:spacing w:line="240" w:lineRule="auto"/>
              <w:ind w:firstLine="0" w:firstLineChars="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74.5</w:t>
            </w:r>
          </w:p>
        </w:tc>
        <w:tc>
          <w:tcPr>
            <w:tcW w:w="993" w:type="dxa"/>
            <w:vAlign w:val="center"/>
          </w:tcPr>
          <w:p>
            <w:pPr>
              <w:widowControl/>
              <w:adjustRightInd/>
              <w:snapToGrid/>
              <w:spacing w:line="240" w:lineRule="auto"/>
              <w:ind w:firstLine="0" w:firstLineChars="0"/>
              <w:jc w:val="center"/>
              <w:rPr>
                <w:rFonts w:hint="default" w:ascii="Times New Roman" w:hAnsi="Times New Roman" w:cs="Times New Roman"/>
              </w:rPr>
            </w:pPr>
            <w:r>
              <w:rPr>
                <w:rFonts w:hint="default" w:ascii="Times New Roman" w:hAnsi="Times New Roman" w:cs="Times New Roman"/>
                <w:lang w:val="en-US" w:eastAsia="zh-CN"/>
              </w:rPr>
              <w:t>74.5</w:t>
            </w:r>
          </w:p>
        </w:tc>
        <w:tc>
          <w:tcPr>
            <w:tcW w:w="850" w:type="dxa"/>
            <w:vAlign w:val="center"/>
          </w:tcPr>
          <w:p>
            <w:pPr>
              <w:pStyle w:val="465"/>
              <w:rPr>
                <w:rFonts w:hint="default" w:ascii="Times New Roman" w:hAnsi="Times New Roman" w:cs="Times New Roman"/>
              </w:rPr>
            </w:pPr>
          </w:p>
        </w:tc>
        <w:tc>
          <w:tcPr>
            <w:tcW w:w="2069" w:type="dxa"/>
            <w:vAlign w:val="center"/>
          </w:tcPr>
          <w:p>
            <w:pPr>
              <w:pStyle w:val="465"/>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42" w:type="dxa"/>
            <w:vAlign w:val="center"/>
          </w:tcPr>
          <w:p>
            <w:pPr>
              <w:pStyle w:val="465"/>
              <w:rPr>
                <w:rFonts w:hint="default" w:ascii="Times New Roman" w:hAnsi="Times New Roman" w:cs="Times New Roman"/>
              </w:rPr>
            </w:pPr>
            <w:r>
              <w:rPr>
                <w:rFonts w:hint="default" w:ascii="Times New Roman" w:hAnsi="Times New Roman" w:cs="Times New Roman"/>
              </w:rPr>
              <w:t>（一）</w:t>
            </w:r>
          </w:p>
        </w:tc>
        <w:tc>
          <w:tcPr>
            <w:tcW w:w="3194" w:type="dxa"/>
            <w:vAlign w:val="center"/>
          </w:tcPr>
          <w:p>
            <w:pPr>
              <w:pStyle w:val="465"/>
              <w:rPr>
                <w:rFonts w:hint="default" w:ascii="Times New Roman" w:hAnsi="Times New Roman" w:eastAsia="宋体" w:cs="Times New Roman"/>
                <w:lang w:eastAsia="zh-CN"/>
              </w:rPr>
            </w:pPr>
            <w:r>
              <w:rPr>
                <w:rFonts w:hint="default" w:ascii="Times New Roman" w:hAnsi="Times New Roman" w:cs="Times New Roman"/>
                <w:lang w:val="en-US" w:eastAsia="zh-CN"/>
              </w:rPr>
              <w:t>主体建筑区</w:t>
            </w:r>
          </w:p>
        </w:tc>
        <w:tc>
          <w:tcPr>
            <w:tcW w:w="1133" w:type="dxa"/>
            <w:vAlign w:val="center"/>
          </w:tcPr>
          <w:p>
            <w:pPr>
              <w:widowControl/>
              <w:adjustRightInd/>
              <w:snapToGrid/>
              <w:spacing w:line="240" w:lineRule="auto"/>
              <w:ind w:firstLine="0" w:firstLineChars="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74.5</w:t>
            </w:r>
          </w:p>
        </w:tc>
        <w:tc>
          <w:tcPr>
            <w:tcW w:w="993" w:type="dxa"/>
            <w:vAlign w:val="center"/>
          </w:tcPr>
          <w:p>
            <w:pPr>
              <w:widowControl/>
              <w:adjustRightInd/>
              <w:snapToGrid/>
              <w:spacing w:line="240" w:lineRule="auto"/>
              <w:ind w:firstLine="0" w:firstLineChars="0"/>
              <w:jc w:val="center"/>
              <w:rPr>
                <w:rFonts w:hint="default" w:ascii="Times New Roman" w:hAnsi="Times New Roman" w:cs="Times New Roman"/>
              </w:rPr>
            </w:pPr>
            <w:r>
              <w:rPr>
                <w:rFonts w:hint="default" w:ascii="Times New Roman" w:hAnsi="Times New Roman" w:cs="Times New Roman"/>
                <w:lang w:val="en-US" w:eastAsia="zh-CN"/>
              </w:rPr>
              <w:t>74.5</w:t>
            </w:r>
          </w:p>
        </w:tc>
        <w:tc>
          <w:tcPr>
            <w:tcW w:w="850" w:type="dxa"/>
            <w:vAlign w:val="center"/>
          </w:tcPr>
          <w:p>
            <w:pPr>
              <w:pStyle w:val="465"/>
              <w:rPr>
                <w:rFonts w:hint="default" w:ascii="Times New Roman" w:hAnsi="Times New Roman" w:cs="Times New Roman"/>
              </w:rPr>
            </w:pPr>
          </w:p>
        </w:tc>
        <w:tc>
          <w:tcPr>
            <w:tcW w:w="2069" w:type="dxa"/>
            <w:vAlign w:val="center"/>
          </w:tcPr>
          <w:p>
            <w:pPr>
              <w:pStyle w:val="465"/>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42" w:type="dxa"/>
            <w:vAlign w:val="center"/>
          </w:tcPr>
          <w:p>
            <w:pPr>
              <w:pStyle w:val="465"/>
              <w:rPr>
                <w:rFonts w:hint="default" w:ascii="Times New Roman" w:hAnsi="Times New Roman" w:cs="Times New Roman"/>
              </w:rPr>
            </w:pPr>
            <w:r>
              <w:rPr>
                <w:rFonts w:hint="default" w:ascii="Times New Roman" w:hAnsi="Times New Roman" w:cs="Times New Roman"/>
              </w:rPr>
              <w:t>1</w:t>
            </w:r>
          </w:p>
        </w:tc>
        <w:tc>
          <w:tcPr>
            <w:tcW w:w="3194" w:type="dxa"/>
            <w:vAlign w:val="center"/>
          </w:tcPr>
          <w:p>
            <w:pPr>
              <w:widowControl/>
              <w:adjustRightInd/>
              <w:snapToGrid/>
              <w:spacing w:line="240" w:lineRule="auto"/>
              <w:ind w:firstLine="0" w:firstLineChars="0"/>
              <w:jc w:val="center"/>
              <w:rPr>
                <w:rFonts w:hint="default" w:ascii="Times New Roman" w:hAnsi="Times New Roman" w:cs="Times New Roman"/>
              </w:rPr>
            </w:pPr>
            <w:r>
              <w:rPr>
                <w:rFonts w:hint="default" w:ascii="Times New Roman" w:hAnsi="Times New Roman" w:cs="Times New Roman"/>
                <w:kern w:val="0"/>
                <w:sz w:val="21"/>
                <w:szCs w:val="21"/>
              </w:rPr>
              <w:t>雨水管网</w:t>
            </w:r>
          </w:p>
        </w:tc>
        <w:tc>
          <w:tcPr>
            <w:tcW w:w="1133" w:type="dxa"/>
            <w:vAlign w:val="center"/>
          </w:tcPr>
          <w:p>
            <w:pPr>
              <w:widowControl/>
              <w:adjustRightInd/>
              <w:snapToGrid/>
              <w:spacing w:line="240" w:lineRule="auto"/>
              <w:ind w:firstLine="0" w:firstLineChars="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74.5</w:t>
            </w:r>
          </w:p>
        </w:tc>
        <w:tc>
          <w:tcPr>
            <w:tcW w:w="993" w:type="dxa"/>
            <w:vAlign w:val="center"/>
          </w:tcPr>
          <w:p>
            <w:pPr>
              <w:widowControl/>
              <w:adjustRightInd/>
              <w:snapToGrid/>
              <w:spacing w:line="240" w:lineRule="auto"/>
              <w:ind w:firstLine="0" w:firstLineChars="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74.5</w:t>
            </w:r>
          </w:p>
        </w:tc>
        <w:tc>
          <w:tcPr>
            <w:tcW w:w="850" w:type="dxa"/>
            <w:vAlign w:val="center"/>
          </w:tcPr>
          <w:p>
            <w:pPr>
              <w:pStyle w:val="465"/>
              <w:rPr>
                <w:rFonts w:hint="default" w:ascii="Times New Roman" w:hAnsi="Times New Roman" w:cs="Times New Roman"/>
              </w:rPr>
            </w:pPr>
          </w:p>
        </w:tc>
        <w:tc>
          <w:tcPr>
            <w:tcW w:w="2069" w:type="dxa"/>
            <w:vAlign w:val="center"/>
          </w:tcPr>
          <w:p>
            <w:pPr>
              <w:pStyle w:val="465"/>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42" w:type="dxa"/>
            <w:vAlign w:val="center"/>
          </w:tcPr>
          <w:p>
            <w:pPr>
              <w:pStyle w:val="465"/>
              <w:rPr>
                <w:rFonts w:hint="default" w:ascii="Times New Roman" w:hAnsi="Times New Roman" w:cs="Times New Roman"/>
                <w:lang w:val="en-US" w:eastAsia="zh-CN"/>
              </w:rPr>
            </w:pPr>
          </w:p>
        </w:tc>
        <w:tc>
          <w:tcPr>
            <w:tcW w:w="3194" w:type="dxa"/>
            <w:vAlign w:val="center"/>
          </w:tcPr>
          <w:p>
            <w:pPr>
              <w:widowControl/>
              <w:adjustRightInd/>
              <w:snapToGrid/>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rPr>
              <w:t>第</w:t>
            </w:r>
            <w:r>
              <w:rPr>
                <w:rFonts w:hint="default" w:ascii="Times New Roman" w:hAnsi="Times New Roman" w:cs="Times New Roman"/>
                <w:lang w:val="en-US" w:eastAsia="zh-CN"/>
              </w:rPr>
              <w:t>二</w:t>
            </w:r>
            <w:r>
              <w:rPr>
                <w:rFonts w:hint="default" w:ascii="Times New Roman" w:hAnsi="Times New Roman" w:cs="Times New Roman"/>
              </w:rPr>
              <w:t xml:space="preserve">部分 </w:t>
            </w:r>
            <w:r>
              <w:rPr>
                <w:rFonts w:hint="default" w:ascii="Times New Roman" w:hAnsi="Times New Roman" w:cs="Times New Roman"/>
                <w:lang w:val="en-US" w:eastAsia="zh-CN"/>
              </w:rPr>
              <w:t>植物</w:t>
            </w:r>
            <w:r>
              <w:rPr>
                <w:rFonts w:hint="default" w:ascii="Times New Roman" w:hAnsi="Times New Roman" w:cs="Times New Roman"/>
              </w:rPr>
              <w:t>措施</w:t>
            </w:r>
          </w:p>
        </w:tc>
        <w:tc>
          <w:tcPr>
            <w:tcW w:w="1133" w:type="dxa"/>
            <w:vAlign w:val="center"/>
          </w:tcPr>
          <w:p>
            <w:pPr>
              <w:pStyle w:val="465"/>
              <w:rPr>
                <w:rFonts w:hint="default" w:ascii="Times New Roman" w:hAnsi="Times New Roman" w:eastAsia="宋体" w:cs="Times New Roman"/>
                <w:lang w:val="en-US" w:eastAsia="zh-CN"/>
              </w:rPr>
            </w:pPr>
            <w:r>
              <w:rPr>
                <w:rFonts w:hint="default" w:ascii="Times New Roman" w:hAnsi="Times New Roman" w:cs="Times New Roman"/>
                <w:lang w:val="en-US" w:eastAsia="zh-CN"/>
              </w:rPr>
              <w:t>23.7</w:t>
            </w:r>
          </w:p>
        </w:tc>
        <w:tc>
          <w:tcPr>
            <w:tcW w:w="993" w:type="dxa"/>
            <w:vAlign w:val="center"/>
          </w:tcPr>
          <w:p>
            <w:pPr>
              <w:pStyle w:val="465"/>
              <w:rPr>
                <w:rFonts w:hint="default" w:ascii="Times New Roman" w:hAnsi="Times New Roman" w:cs="Times New Roman"/>
              </w:rPr>
            </w:pPr>
            <w:r>
              <w:rPr>
                <w:rFonts w:hint="default" w:ascii="Times New Roman" w:hAnsi="Times New Roman" w:cs="Times New Roman"/>
                <w:lang w:val="en-US" w:eastAsia="zh-CN"/>
              </w:rPr>
              <w:t>23.7</w:t>
            </w:r>
          </w:p>
        </w:tc>
        <w:tc>
          <w:tcPr>
            <w:tcW w:w="850" w:type="dxa"/>
            <w:vAlign w:val="center"/>
          </w:tcPr>
          <w:p>
            <w:pPr>
              <w:pStyle w:val="465"/>
              <w:rPr>
                <w:rFonts w:hint="default" w:ascii="Times New Roman" w:hAnsi="Times New Roman" w:cs="Times New Roman"/>
              </w:rPr>
            </w:pPr>
          </w:p>
        </w:tc>
        <w:tc>
          <w:tcPr>
            <w:tcW w:w="2069" w:type="dxa"/>
            <w:vAlign w:val="center"/>
          </w:tcPr>
          <w:p>
            <w:pPr>
              <w:pStyle w:val="465"/>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42" w:type="dxa"/>
            <w:vAlign w:val="center"/>
          </w:tcPr>
          <w:p>
            <w:pPr>
              <w:pStyle w:val="465"/>
              <w:rPr>
                <w:rFonts w:hint="default" w:ascii="Times New Roman" w:hAnsi="Times New Roman" w:cs="Times New Roman"/>
                <w:lang w:val="en-US" w:eastAsia="zh-CN"/>
              </w:rPr>
            </w:pPr>
            <w:r>
              <w:rPr>
                <w:rFonts w:hint="default" w:ascii="Times New Roman" w:hAnsi="Times New Roman" w:cs="Times New Roman"/>
              </w:rPr>
              <w:t>（一）</w:t>
            </w:r>
          </w:p>
        </w:tc>
        <w:tc>
          <w:tcPr>
            <w:tcW w:w="3194" w:type="dxa"/>
            <w:vAlign w:val="center"/>
          </w:tcPr>
          <w:p>
            <w:pPr>
              <w:pStyle w:val="465"/>
              <w:rPr>
                <w:rFonts w:hint="default" w:ascii="Times New Roman" w:hAnsi="Times New Roman" w:cs="Times New Roman"/>
                <w:kern w:val="0"/>
                <w:sz w:val="21"/>
                <w:szCs w:val="21"/>
              </w:rPr>
            </w:pPr>
            <w:r>
              <w:rPr>
                <w:rFonts w:hint="default" w:ascii="Times New Roman" w:hAnsi="Times New Roman" w:cs="Times New Roman"/>
                <w:lang w:val="en-US" w:eastAsia="zh-CN"/>
              </w:rPr>
              <w:t>景观绿化区</w:t>
            </w:r>
          </w:p>
        </w:tc>
        <w:tc>
          <w:tcPr>
            <w:tcW w:w="1133" w:type="dxa"/>
            <w:vAlign w:val="center"/>
          </w:tcPr>
          <w:p>
            <w:pPr>
              <w:pStyle w:val="465"/>
              <w:rPr>
                <w:rFonts w:hint="default" w:ascii="Times New Roman" w:hAnsi="Times New Roman" w:eastAsia="宋体" w:cs="Times New Roman"/>
                <w:lang w:val="en-US" w:eastAsia="zh-CN"/>
              </w:rPr>
            </w:pPr>
            <w:r>
              <w:rPr>
                <w:rFonts w:hint="default" w:ascii="Times New Roman" w:hAnsi="Times New Roman" w:cs="Times New Roman"/>
                <w:lang w:val="en-US" w:eastAsia="zh-CN"/>
              </w:rPr>
              <w:t>23.7</w:t>
            </w:r>
          </w:p>
        </w:tc>
        <w:tc>
          <w:tcPr>
            <w:tcW w:w="993" w:type="dxa"/>
            <w:vAlign w:val="center"/>
          </w:tcPr>
          <w:p>
            <w:pPr>
              <w:pStyle w:val="465"/>
              <w:rPr>
                <w:rFonts w:hint="default" w:ascii="Times New Roman" w:hAnsi="Times New Roman" w:eastAsia="宋体" w:cs="Times New Roman"/>
                <w:lang w:val="en-US" w:eastAsia="zh-CN"/>
              </w:rPr>
            </w:pPr>
            <w:r>
              <w:rPr>
                <w:rFonts w:hint="default" w:ascii="Times New Roman" w:hAnsi="Times New Roman" w:cs="Times New Roman"/>
                <w:lang w:val="en-US" w:eastAsia="zh-CN"/>
              </w:rPr>
              <w:t>23.7</w:t>
            </w:r>
          </w:p>
        </w:tc>
        <w:tc>
          <w:tcPr>
            <w:tcW w:w="850" w:type="dxa"/>
            <w:vAlign w:val="center"/>
          </w:tcPr>
          <w:p>
            <w:pPr>
              <w:pStyle w:val="465"/>
              <w:rPr>
                <w:rFonts w:hint="default" w:ascii="Times New Roman" w:hAnsi="Times New Roman" w:cs="Times New Roman"/>
              </w:rPr>
            </w:pPr>
          </w:p>
        </w:tc>
        <w:tc>
          <w:tcPr>
            <w:tcW w:w="2069" w:type="dxa"/>
            <w:vAlign w:val="center"/>
          </w:tcPr>
          <w:p>
            <w:pPr>
              <w:pStyle w:val="465"/>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42" w:type="dxa"/>
            <w:vAlign w:val="center"/>
          </w:tcPr>
          <w:p>
            <w:pPr>
              <w:widowControl/>
              <w:adjustRightInd/>
              <w:snapToGrid/>
              <w:spacing w:line="240" w:lineRule="auto"/>
              <w:ind w:firstLine="0" w:firstLineChars="0"/>
              <w:jc w:val="center"/>
              <w:rPr>
                <w:rFonts w:hint="default" w:ascii="Times New Roman" w:hAnsi="Times New Roman" w:cs="Times New Roman"/>
                <w:lang w:val="en-US" w:eastAsia="zh-CN"/>
              </w:rPr>
            </w:pPr>
            <w:r>
              <w:rPr>
                <w:rFonts w:hint="default" w:ascii="Times New Roman" w:hAnsi="Times New Roman" w:cs="Times New Roman"/>
                <w:kern w:val="0"/>
                <w:sz w:val="21"/>
                <w:szCs w:val="21"/>
              </w:rPr>
              <w:t>1</w:t>
            </w:r>
          </w:p>
        </w:tc>
        <w:tc>
          <w:tcPr>
            <w:tcW w:w="3194" w:type="dxa"/>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种植灌木，撒播草籽</w:t>
            </w:r>
          </w:p>
        </w:tc>
        <w:tc>
          <w:tcPr>
            <w:tcW w:w="1133" w:type="dxa"/>
            <w:vAlign w:val="center"/>
          </w:tcPr>
          <w:p>
            <w:pPr>
              <w:pStyle w:val="465"/>
              <w:rPr>
                <w:rFonts w:hint="default" w:ascii="Times New Roman" w:hAnsi="Times New Roman" w:cs="Times New Roman"/>
              </w:rPr>
            </w:pPr>
            <w:r>
              <w:rPr>
                <w:rFonts w:hint="default" w:ascii="Times New Roman" w:hAnsi="Times New Roman" w:cs="Times New Roman"/>
                <w:lang w:val="en-US" w:eastAsia="zh-CN"/>
              </w:rPr>
              <w:t>23.7</w:t>
            </w:r>
          </w:p>
        </w:tc>
        <w:tc>
          <w:tcPr>
            <w:tcW w:w="993" w:type="dxa"/>
            <w:vAlign w:val="center"/>
          </w:tcPr>
          <w:p>
            <w:pPr>
              <w:pStyle w:val="465"/>
              <w:rPr>
                <w:rFonts w:hint="default" w:ascii="Times New Roman" w:hAnsi="Times New Roman" w:cs="Times New Roman"/>
                <w:lang w:val="en-US"/>
              </w:rPr>
            </w:pPr>
            <w:r>
              <w:rPr>
                <w:rFonts w:hint="eastAsia" w:cs="Times New Roman"/>
                <w:lang w:val="en-US" w:eastAsia="zh-CN"/>
              </w:rPr>
              <w:t>15.0</w:t>
            </w:r>
          </w:p>
        </w:tc>
        <w:tc>
          <w:tcPr>
            <w:tcW w:w="850" w:type="dxa"/>
            <w:vAlign w:val="center"/>
          </w:tcPr>
          <w:p>
            <w:pPr>
              <w:pStyle w:val="465"/>
              <w:rPr>
                <w:rFonts w:hint="eastAsia" w:ascii="Times New Roman" w:hAnsi="Times New Roman" w:eastAsia="宋体" w:cs="Times New Roman"/>
                <w:lang w:val="en-US" w:eastAsia="zh-CN"/>
              </w:rPr>
            </w:pPr>
            <w:r>
              <w:rPr>
                <w:rFonts w:hint="eastAsia" w:cs="Times New Roman"/>
                <w:lang w:val="en-US" w:eastAsia="zh-CN"/>
              </w:rPr>
              <w:t>-8.70</w:t>
            </w:r>
          </w:p>
        </w:tc>
        <w:tc>
          <w:tcPr>
            <w:tcW w:w="2069" w:type="dxa"/>
            <w:vAlign w:val="center"/>
          </w:tcPr>
          <w:p>
            <w:pPr>
              <w:pStyle w:val="465"/>
              <w:rPr>
                <w:rFonts w:hint="default" w:ascii="Times New Roman" w:hAnsi="Times New Roman" w:cs="Times New Roman"/>
              </w:rPr>
            </w:pPr>
            <w:r>
              <w:rPr>
                <w:rFonts w:hint="eastAsia"/>
                <w:lang w:val="en-US" w:eastAsia="zh-CN"/>
              </w:rPr>
              <w:t>实际情况与设计相比，有所减少。</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42" w:type="dxa"/>
            <w:vAlign w:val="center"/>
          </w:tcPr>
          <w:p>
            <w:pPr>
              <w:pStyle w:val="465"/>
              <w:rPr>
                <w:rFonts w:hint="default" w:ascii="Times New Roman" w:hAnsi="Times New Roman" w:cs="Times New Roman"/>
                <w:kern w:val="0"/>
                <w:sz w:val="21"/>
                <w:szCs w:val="21"/>
              </w:rPr>
            </w:pPr>
            <w:r>
              <w:rPr>
                <w:rFonts w:hint="default" w:ascii="Times New Roman" w:hAnsi="Times New Roman" w:cs="Times New Roman"/>
                <w:b/>
              </w:rPr>
              <w:t>二</w:t>
            </w:r>
          </w:p>
        </w:tc>
        <w:tc>
          <w:tcPr>
            <w:tcW w:w="3194" w:type="dxa"/>
            <w:vAlign w:val="center"/>
          </w:tcPr>
          <w:p>
            <w:pPr>
              <w:pStyle w:val="465"/>
              <w:rPr>
                <w:rFonts w:hint="default" w:ascii="Times New Roman" w:hAnsi="Times New Roman" w:cs="Times New Roman"/>
                <w:kern w:val="0"/>
                <w:sz w:val="21"/>
                <w:szCs w:val="21"/>
              </w:rPr>
            </w:pPr>
            <w:r>
              <w:rPr>
                <w:rFonts w:hint="default" w:ascii="Times New Roman" w:hAnsi="Times New Roman" w:cs="Times New Roman"/>
                <w:b/>
              </w:rPr>
              <w:t>水土保持新增措施</w:t>
            </w:r>
          </w:p>
        </w:tc>
        <w:tc>
          <w:tcPr>
            <w:tcW w:w="1133" w:type="dxa"/>
            <w:vAlign w:val="center"/>
          </w:tcPr>
          <w:p>
            <w:pPr>
              <w:pStyle w:val="465"/>
              <w:rPr>
                <w:rFonts w:hint="default" w:ascii="Times New Roman" w:hAnsi="Times New Roman" w:eastAsia="宋体" w:cs="Times New Roman"/>
                <w:lang w:val="en-US" w:eastAsia="zh-CN"/>
              </w:rPr>
            </w:pPr>
            <w:r>
              <w:rPr>
                <w:rFonts w:hint="default" w:ascii="Times New Roman" w:hAnsi="Times New Roman" w:cs="Times New Roman"/>
                <w:lang w:val="en-US" w:eastAsia="zh-CN"/>
              </w:rPr>
              <w:t>60.25</w:t>
            </w:r>
          </w:p>
        </w:tc>
        <w:tc>
          <w:tcPr>
            <w:tcW w:w="993" w:type="dxa"/>
            <w:vAlign w:val="center"/>
          </w:tcPr>
          <w:p>
            <w:pPr>
              <w:pStyle w:val="465"/>
              <w:rPr>
                <w:rFonts w:hint="default" w:ascii="Times New Roman" w:hAnsi="Times New Roman" w:eastAsia="宋体" w:cs="Times New Roman"/>
                <w:lang w:val="en-US" w:eastAsia="zh-CN"/>
              </w:rPr>
            </w:pPr>
            <w:r>
              <w:rPr>
                <w:rFonts w:hint="default" w:ascii="Times New Roman" w:hAnsi="Times New Roman" w:cs="Times New Roman"/>
                <w:lang w:val="en-US" w:eastAsia="zh-CN"/>
              </w:rPr>
              <w:t>60.25</w:t>
            </w:r>
          </w:p>
        </w:tc>
        <w:tc>
          <w:tcPr>
            <w:tcW w:w="850" w:type="dxa"/>
            <w:vAlign w:val="center"/>
          </w:tcPr>
          <w:p>
            <w:pPr>
              <w:pStyle w:val="465"/>
              <w:rPr>
                <w:rFonts w:hint="default" w:ascii="Times New Roman" w:hAnsi="Times New Roman" w:cs="Times New Roman"/>
              </w:rPr>
            </w:pPr>
          </w:p>
        </w:tc>
        <w:tc>
          <w:tcPr>
            <w:tcW w:w="2069" w:type="dxa"/>
            <w:vAlign w:val="center"/>
          </w:tcPr>
          <w:p>
            <w:pPr>
              <w:pStyle w:val="465"/>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42" w:type="dxa"/>
            <w:vAlign w:val="center"/>
          </w:tcPr>
          <w:p>
            <w:pPr>
              <w:pStyle w:val="465"/>
              <w:jc w:val="center"/>
              <w:rPr>
                <w:rFonts w:hint="default" w:ascii="Times New Roman" w:hAnsi="Times New Roman" w:cs="Times New Roman"/>
                <w:kern w:val="0"/>
                <w:sz w:val="21"/>
                <w:szCs w:val="21"/>
              </w:rPr>
            </w:pPr>
          </w:p>
        </w:tc>
        <w:tc>
          <w:tcPr>
            <w:tcW w:w="3194" w:type="dxa"/>
            <w:vAlign w:val="center"/>
          </w:tcPr>
          <w:p>
            <w:pPr>
              <w:pStyle w:val="465"/>
              <w:jc w:val="center"/>
              <w:rPr>
                <w:rFonts w:hint="default" w:ascii="Times New Roman" w:hAnsi="Times New Roman" w:cs="Times New Roman"/>
                <w:kern w:val="0"/>
                <w:sz w:val="21"/>
                <w:szCs w:val="21"/>
              </w:rPr>
            </w:pPr>
            <w:r>
              <w:rPr>
                <w:rFonts w:hint="default" w:ascii="Times New Roman" w:hAnsi="Times New Roman" w:cs="Times New Roman"/>
              </w:rPr>
              <w:t>第一部分 工程措施</w:t>
            </w:r>
          </w:p>
        </w:tc>
        <w:tc>
          <w:tcPr>
            <w:tcW w:w="1133" w:type="dxa"/>
            <w:vAlign w:val="center"/>
          </w:tcPr>
          <w:p>
            <w:pPr>
              <w:pStyle w:val="465"/>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6.97</w:t>
            </w:r>
          </w:p>
        </w:tc>
        <w:tc>
          <w:tcPr>
            <w:tcW w:w="993" w:type="dxa"/>
            <w:vAlign w:val="center"/>
          </w:tcPr>
          <w:p>
            <w:pPr>
              <w:pStyle w:val="465"/>
              <w:jc w:val="center"/>
              <w:rPr>
                <w:rFonts w:hint="default" w:ascii="Times New Roman" w:hAnsi="Times New Roman" w:cs="Times New Roman"/>
              </w:rPr>
            </w:pPr>
            <w:r>
              <w:rPr>
                <w:rFonts w:hint="default" w:ascii="Times New Roman" w:hAnsi="Times New Roman" w:cs="Times New Roman"/>
                <w:lang w:val="en-US" w:eastAsia="zh-CN"/>
              </w:rPr>
              <w:t>6.97</w:t>
            </w:r>
          </w:p>
        </w:tc>
        <w:tc>
          <w:tcPr>
            <w:tcW w:w="850" w:type="dxa"/>
            <w:vAlign w:val="center"/>
          </w:tcPr>
          <w:p>
            <w:pPr>
              <w:pStyle w:val="465"/>
              <w:jc w:val="center"/>
              <w:rPr>
                <w:rFonts w:hint="default" w:ascii="Times New Roman" w:hAnsi="Times New Roman" w:cs="Times New Roman"/>
              </w:rPr>
            </w:pPr>
          </w:p>
        </w:tc>
        <w:tc>
          <w:tcPr>
            <w:tcW w:w="2069" w:type="dxa"/>
            <w:vAlign w:val="center"/>
          </w:tcPr>
          <w:p>
            <w:pPr>
              <w:pStyle w:val="465"/>
              <w:jc w:val="center"/>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42" w:type="dxa"/>
            <w:vAlign w:val="center"/>
          </w:tcPr>
          <w:p>
            <w:pPr>
              <w:pStyle w:val="465"/>
              <w:jc w:val="center"/>
              <w:rPr>
                <w:rFonts w:hint="default" w:ascii="Times New Roman" w:hAnsi="Times New Roman" w:cs="Times New Roman"/>
                <w:kern w:val="0"/>
                <w:sz w:val="21"/>
                <w:szCs w:val="21"/>
              </w:rPr>
            </w:pPr>
            <w:r>
              <w:rPr>
                <w:rFonts w:hint="default" w:ascii="Times New Roman" w:hAnsi="Times New Roman" w:cs="Times New Roman"/>
              </w:rPr>
              <w:t>（一）</w:t>
            </w:r>
          </w:p>
        </w:tc>
        <w:tc>
          <w:tcPr>
            <w:tcW w:w="3194" w:type="dxa"/>
            <w:vAlign w:val="center"/>
          </w:tcPr>
          <w:p>
            <w:pPr>
              <w:pStyle w:val="465"/>
              <w:jc w:val="center"/>
              <w:rPr>
                <w:rFonts w:hint="default" w:ascii="Times New Roman" w:hAnsi="Times New Roman" w:cs="Times New Roman"/>
                <w:kern w:val="0"/>
                <w:sz w:val="21"/>
                <w:szCs w:val="21"/>
              </w:rPr>
            </w:pPr>
            <w:r>
              <w:rPr>
                <w:rFonts w:hint="default" w:ascii="Times New Roman" w:hAnsi="Times New Roman" w:cs="Times New Roman"/>
                <w:lang w:val="en-US" w:eastAsia="zh-CN"/>
              </w:rPr>
              <w:t>主体建筑区</w:t>
            </w:r>
          </w:p>
        </w:tc>
        <w:tc>
          <w:tcPr>
            <w:tcW w:w="1133" w:type="dxa"/>
            <w:vAlign w:val="center"/>
          </w:tcPr>
          <w:p>
            <w:pPr>
              <w:pStyle w:val="465"/>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1.72</w:t>
            </w:r>
          </w:p>
        </w:tc>
        <w:tc>
          <w:tcPr>
            <w:tcW w:w="993" w:type="dxa"/>
            <w:vAlign w:val="center"/>
          </w:tcPr>
          <w:p>
            <w:pPr>
              <w:pStyle w:val="465"/>
              <w:jc w:val="center"/>
              <w:rPr>
                <w:rFonts w:hint="default" w:ascii="Times New Roman" w:hAnsi="Times New Roman" w:cs="Times New Roman"/>
              </w:rPr>
            </w:pPr>
            <w:r>
              <w:rPr>
                <w:rFonts w:hint="default" w:ascii="Times New Roman" w:hAnsi="Times New Roman" w:cs="Times New Roman"/>
                <w:lang w:val="en-US" w:eastAsia="zh-CN"/>
              </w:rPr>
              <w:t>1.72</w:t>
            </w:r>
          </w:p>
        </w:tc>
        <w:tc>
          <w:tcPr>
            <w:tcW w:w="850" w:type="dxa"/>
            <w:vAlign w:val="center"/>
          </w:tcPr>
          <w:p>
            <w:pPr>
              <w:pStyle w:val="465"/>
              <w:jc w:val="center"/>
              <w:rPr>
                <w:rFonts w:hint="default" w:ascii="Times New Roman" w:hAnsi="Times New Roman" w:cs="Times New Roman"/>
              </w:rPr>
            </w:pPr>
          </w:p>
        </w:tc>
        <w:tc>
          <w:tcPr>
            <w:tcW w:w="2069" w:type="dxa"/>
            <w:vAlign w:val="center"/>
          </w:tcPr>
          <w:p>
            <w:pPr>
              <w:pStyle w:val="465"/>
              <w:jc w:val="center"/>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42" w:type="dxa"/>
            <w:vAlign w:val="center"/>
          </w:tcPr>
          <w:p>
            <w:pPr>
              <w:pStyle w:val="459"/>
              <w:jc w:val="center"/>
              <w:rPr>
                <w:rFonts w:hint="default" w:ascii="Times New Roman" w:hAnsi="Times New Roman" w:cs="Times New Roman"/>
                <w:kern w:val="0"/>
                <w:sz w:val="21"/>
                <w:szCs w:val="21"/>
              </w:rPr>
            </w:pPr>
            <w:r>
              <w:rPr>
                <w:rFonts w:hint="default" w:ascii="Times New Roman" w:hAnsi="Times New Roman" w:cs="Times New Roman"/>
                <w:szCs w:val="21"/>
              </w:rPr>
              <w:t>1</w:t>
            </w:r>
          </w:p>
        </w:tc>
        <w:tc>
          <w:tcPr>
            <w:tcW w:w="3194" w:type="dxa"/>
            <w:vAlign w:val="center"/>
          </w:tcPr>
          <w:p>
            <w:pPr>
              <w:pStyle w:val="459"/>
              <w:jc w:val="center"/>
              <w:rPr>
                <w:rFonts w:hint="default" w:ascii="Times New Roman" w:hAnsi="Times New Roman" w:cs="Times New Roman"/>
                <w:kern w:val="0"/>
                <w:sz w:val="21"/>
                <w:szCs w:val="21"/>
              </w:rPr>
            </w:pPr>
            <w:r>
              <w:rPr>
                <w:rFonts w:hint="default" w:ascii="Times New Roman" w:hAnsi="Times New Roman" w:cs="Times New Roman"/>
                <w:sz w:val="22"/>
              </w:rPr>
              <w:t>表土剥离</w:t>
            </w:r>
          </w:p>
        </w:tc>
        <w:tc>
          <w:tcPr>
            <w:tcW w:w="1133" w:type="dxa"/>
            <w:vAlign w:val="center"/>
          </w:tcPr>
          <w:p>
            <w:pPr>
              <w:pStyle w:val="465"/>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1.61</w:t>
            </w:r>
          </w:p>
        </w:tc>
        <w:tc>
          <w:tcPr>
            <w:tcW w:w="993" w:type="dxa"/>
            <w:vAlign w:val="center"/>
          </w:tcPr>
          <w:p>
            <w:pPr>
              <w:pStyle w:val="465"/>
              <w:jc w:val="center"/>
              <w:rPr>
                <w:rFonts w:hint="default" w:ascii="Times New Roman" w:hAnsi="Times New Roman" w:cs="Times New Roman"/>
              </w:rPr>
            </w:pPr>
            <w:r>
              <w:rPr>
                <w:rFonts w:hint="default" w:ascii="Times New Roman" w:hAnsi="Times New Roman" w:cs="Times New Roman"/>
                <w:lang w:val="en-US" w:eastAsia="zh-CN"/>
              </w:rPr>
              <w:t>1.61</w:t>
            </w:r>
          </w:p>
        </w:tc>
        <w:tc>
          <w:tcPr>
            <w:tcW w:w="850" w:type="dxa"/>
            <w:vAlign w:val="center"/>
          </w:tcPr>
          <w:p>
            <w:pPr>
              <w:pStyle w:val="465"/>
              <w:jc w:val="center"/>
              <w:rPr>
                <w:rFonts w:hint="default" w:ascii="Times New Roman" w:hAnsi="Times New Roman" w:cs="Times New Roman"/>
              </w:rPr>
            </w:pPr>
          </w:p>
        </w:tc>
        <w:tc>
          <w:tcPr>
            <w:tcW w:w="2069" w:type="dxa"/>
            <w:vAlign w:val="center"/>
          </w:tcPr>
          <w:p>
            <w:pPr>
              <w:pStyle w:val="465"/>
              <w:jc w:val="center"/>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42" w:type="dxa"/>
            <w:vAlign w:val="center"/>
          </w:tcPr>
          <w:p>
            <w:pPr>
              <w:pStyle w:val="459"/>
              <w:jc w:val="center"/>
              <w:rPr>
                <w:rFonts w:hint="default" w:ascii="Times New Roman" w:hAnsi="Times New Roman" w:cs="Times New Roman"/>
                <w:kern w:val="0"/>
                <w:sz w:val="21"/>
                <w:szCs w:val="21"/>
              </w:rPr>
            </w:pPr>
            <w:r>
              <w:rPr>
                <w:rFonts w:hint="default" w:ascii="Times New Roman" w:hAnsi="Times New Roman" w:cs="Times New Roman"/>
                <w:szCs w:val="21"/>
              </w:rPr>
              <w:t>2</w:t>
            </w:r>
          </w:p>
        </w:tc>
        <w:tc>
          <w:tcPr>
            <w:tcW w:w="3194" w:type="dxa"/>
            <w:vAlign w:val="center"/>
          </w:tcPr>
          <w:p>
            <w:pPr>
              <w:pStyle w:val="459"/>
              <w:jc w:val="center"/>
              <w:rPr>
                <w:rFonts w:hint="default" w:ascii="Times New Roman" w:hAnsi="Times New Roman" w:cs="Times New Roman" w:eastAsiaTheme="minorEastAsia"/>
                <w:kern w:val="0"/>
                <w:sz w:val="21"/>
                <w:szCs w:val="21"/>
                <w:lang w:eastAsia="zh-CN"/>
              </w:rPr>
            </w:pPr>
            <w:r>
              <w:rPr>
                <w:rFonts w:hint="default" w:ascii="Times New Roman" w:hAnsi="Times New Roman" w:cs="Times New Roman"/>
                <w:szCs w:val="21"/>
                <w:lang w:val="en-US" w:eastAsia="zh-CN"/>
              </w:rPr>
              <w:t>场地整平</w:t>
            </w:r>
          </w:p>
        </w:tc>
        <w:tc>
          <w:tcPr>
            <w:tcW w:w="1133" w:type="dxa"/>
            <w:vAlign w:val="center"/>
          </w:tcPr>
          <w:p>
            <w:pPr>
              <w:pStyle w:val="465"/>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0.11</w:t>
            </w:r>
          </w:p>
        </w:tc>
        <w:tc>
          <w:tcPr>
            <w:tcW w:w="993" w:type="dxa"/>
            <w:vAlign w:val="center"/>
          </w:tcPr>
          <w:p>
            <w:pPr>
              <w:pStyle w:val="465"/>
              <w:jc w:val="center"/>
              <w:rPr>
                <w:rFonts w:hint="default" w:ascii="Times New Roman" w:hAnsi="Times New Roman" w:cs="Times New Roman"/>
              </w:rPr>
            </w:pPr>
            <w:r>
              <w:rPr>
                <w:rFonts w:hint="default" w:ascii="Times New Roman" w:hAnsi="Times New Roman" w:cs="Times New Roman"/>
                <w:lang w:val="en-US" w:eastAsia="zh-CN"/>
              </w:rPr>
              <w:t>0.11</w:t>
            </w:r>
          </w:p>
        </w:tc>
        <w:tc>
          <w:tcPr>
            <w:tcW w:w="850" w:type="dxa"/>
            <w:vAlign w:val="center"/>
          </w:tcPr>
          <w:p>
            <w:pPr>
              <w:pStyle w:val="465"/>
              <w:jc w:val="center"/>
              <w:rPr>
                <w:rFonts w:hint="default" w:ascii="Times New Roman" w:hAnsi="Times New Roman" w:cs="Times New Roman"/>
              </w:rPr>
            </w:pPr>
          </w:p>
        </w:tc>
        <w:tc>
          <w:tcPr>
            <w:tcW w:w="2069" w:type="dxa"/>
            <w:vAlign w:val="center"/>
          </w:tcPr>
          <w:p>
            <w:pPr>
              <w:pStyle w:val="465"/>
              <w:jc w:val="center"/>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42" w:type="dxa"/>
            <w:vAlign w:val="center"/>
          </w:tcPr>
          <w:p>
            <w:pPr>
              <w:pStyle w:val="465"/>
              <w:jc w:val="center"/>
              <w:rPr>
                <w:rFonts w:hint="default" w:ascii="Times New Roman" w:hAnsi="Times New Roman" w:cs="Times New Roman"/>
                <w:kern w:val="0"/>
                <w:sz w:val="21"/>
                <w:szCs w:val="21"/>
              </w:rPr>
            </w:pPr>
            <w:r>
              <w:rPr>
                <w:rFonts w:hint="default" w:ascii="Times New Roman" w:hAnsi="Times New Roman" w:cs="Times New Roman"/>
              </w:rPr>
              <w:t>（</w:t>
            </w:r>
            <w:r>
              <w:rPr>
                <w:rFonts w:hint="default" w:ascii="Times New Roman" w:hAnsi="Times New Roman" w:cs="Times New Roman"/>
                <w:lang w:val="en-US" w:eastAsia="zh-CN"/>
              </w:rPr>
              <w:t>二</w:t>
            </w:r>
            <w:r>
              <w:rPr>
                <w:rFonts w:hint="default" w:ascii="Times New Roman" w:hAnsi="Times New Roman" w:cs="Times New Roman"/>
              </w:rPr>
              <w:t>）</w:t>
            </w:r>
          </w:p>
        </w:tc>
        <w:tc>
          <w:tcPr>
            <w:tcW w:w="3194" w:type="dxa"/>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lang w:val="en-US" w:eastAsia="zh-CN"/>
              </w:rPr>
              <w:t>道路广场区</w:t>
            </w:r>
          </w:p>
        </w:tc>
        <w:tc>
          <w:tcPr>
            <w:tcW w:w="1133" w:type="dxa"/>
            <w:vAlign w:val="center"/>
          </w:tcPr>
          <w:p>
            <w:pPr>
              <w:pStyle w:val="465"/>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1.67</w:t>
            </w:r>
          </w:p>
        </w:tc>
        <w:tc>
          <w:tcPr>
            <w:tcW w:w="993" w:type="dxa"/>
            <w:vAlign w:val="center"/>
          </w:tcPr>
          <w:p>
            <w:pPr>
              <w:pStyle w:val="465"/>
              <w:jc w:val="center"/>
              <w:rPr>
                <w:rFonts w:hint="default" w:ascii="Times New Roman" w:hAnsi="Times New Roman" w:cs="Times New Roman"/>
              </w:rPr>
            </w:pPr>
            <w:r>
              <w:rPr>
                <w:rFonts w:hint="default" w:ascii="Times New Roman" w:hAnsi="Times New Roman" w:cs="Times New Roman"/>
                <w:lang w:val="en-US" w:eastAsia="zh-CN"/>
              </w:rPr>
              <w:t>1.67</w:t>
            </w:r>
          </w:p>
        </w:tc>
        <w:tc>
          <w:tcPr>
            <w:tcW w:w="850" w:type="dxa"/>
            <w:vAlign w:val="center"/>
          </w:tcPr>
          <w:p>
            <w:pPr>
              <w:pStyle w:val="465"/>
              <w:jc w:val="center"/>
              <w:rPr>
                <w:rFonts w:hint="default" w:ascii="Times New Roman" w:hAnsi="Times New Roman" w:cs="Times New Roman"/>
              </w:rPr>
            </w:pPr>
          </w:p>
        </w:tc>
        <w:tc>
          <w:tcPr>
            <w:tcW w:w="2069" w:type="dxa"/>
            <w:vAlign w:val="center"/>
          </w:tcPr>
          <w:p>
            <w:pPr>
              <w:pStyle w:val="465"/>
              <w:jc w:val="center"/>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42" w:type="dxa"/>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1</w:t>
            </w:r>
          </w:p>
        </w:tc>
        <w:tc>
          <w:tcPr>
            <w:tcW w:w="3194" w:type="dxa"/>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表土剥离</w:t>
            </w:r>
          </w:p>
        </w:tc>
        <w:tc>
          <w:tcPr>
            <w:tcW w:w="1133" w:type="dxa"/>
            <w:vAlign w:val="center"/>
          </w:tcPr>
          <w:p>
            <w:pPr>
              <w:pStyle w:val="465"/>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1.58</w:t>
            </w:r>
          </w:p>
        </w:tc>
        <w:tc>
          <w:tcPr>
            <w:tcW w:w="993" w:type="dxa"/>
            <w:vAlign w:val="center"/>
          </w:tcPr>
          <w:p>
            <w:pPr>
              <w:pStyle w:val="465"/>
              <w:jc w:val="center"/>
              <w:rPr>
                <w:rFonts w:hint="default" w:ascii="Times New Roman" w:hAnsi="Times New Roman" w:cs="Times New Roman"/>
              </w:rPr>
            </w:pPr>
            <w:r>
              <w:rPr>
                <w:rFonts w:hint="default" w:ascii="Times New Roman" w:hAnsi="Times New Roman" w:cs="Times New Roman"/>
                <w:lang w:val="en-US" w:eastAsia="zh-CN"/>
              </w:rPr>
              <w:t>1.58</w:t>
            </w:r>
          </w:p>
        </w:tc>
        <w:tc>
          <w:tcPr>
            <w:tcW w:w="850" w:type="dxa"/>
            <w:vAlign w:val="center"/>
          </w:tcPr>
          <w:p>
            <w:pPr>
              <w:pStyle w:val="465"/>
              <w:jc w:val="center"/>
              <w:rPr>
                <w:rFonts w:hint="default" w:ascii="Times New Roman" w:hAnsi="Times New Roman" w:cs="Times New Roman"/>
              </w:rPr>
            </w:pPr>
          </w:p>
        </w:tc>
        <w:tc>
          <w:tcPr>
            <w:tcW w:w="2069" w:type="dxa"/>
            <w:vAlign w:val="center"/>
          </w:tcPr>
          <w:p>
            <w:pPr>
              <w:pStyle w:val="465"/>
              <w:jc w:val="center"/>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42" w:type="dxa"/>
            <w:vAlign w:val="center"/>
          </w:tcPr>
          <w:p>
            <w:pPr>
              <w:widowControl/>
              <w:adjustRightInd/>
              <w:snapToGrid/>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w:t>
            </w:r>
          </w:p>
        </w:tc>
        <w:tc>
          <w:tcPr>
            <w:tcW w:w="3194" w:type="dxa"/>
            <w:vAlign w:val="center"/>
          </w:tcPr>
          <w:p>
            <w:pPr>
              <w:widowControl/>
              <w:adjustRightInd/>
              <w:snapToGrid/>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场地整平</w:t>
            </w:r>
          </w:p>
        </w:tc>
        <w:tc>
          <w:tcPr>
            <w:tcW w:w="1133" w:type="dxa"/>
            <w:vAlign w:val="center"/>
          </w:tcPr>
          <w:p>
            <w:pPr>
              <w:pStyle w:val="465"/>
              <w:jc w:val="center"/>
              <w:rPr>
                <w:rFonts w:hint="default" w:ascii="Times New Roman" w:hAnsi="Times New Roman" w:cs="Times New Roman"/>
                <w:lang w:val="en-US" w:eastAsia="zh-CN"/>
              </w:rPr>
            </w:pPr>
            <w:r>
              <w:rPr>
                <w:rFonts w:hint="default" w:ascii="Times New Roman" w:hAnsi="Times New Roman" w:cs="Times New Roman"/>
                <w:lang w:val="en-US" w:eastAsia="zh-CN"/>
              </w:rPr>
              <w:t>0.09</w:t>
            </w:r>
          </w:p>
        </w:tc>
        <w:tc>
          <w:tcPr>
            <w:tcW w:w="993" w:type="dxa"/>
            <w:vAlign w:val="center"/>
          </w:tcPr>
          <w:p>
            <w:pPr>
              <w:pStyle w:val="465"/>
              <w:jc w:val="center"/>
              <w:rPr>
                <w:rFonts w:hint="default" w:ascii="Times New Roman" w:hAnsi="Times New Roman" w:cs="Times New Roman"/>
                <w:lang w:val="en-US" w:eastAsia="zh-CN"/>
              </w:rPr>
            </w:pPr>
            <w:r>
              <w:rPr>
                <w:rFonts w:hint="default" w:ascii="Times New Roman" w:hAnsi="Times New Roman" w:cs="Times New Roman"/>
                <w:lang w:val="en-US" w:eastAsia="zh-CN"/>
              </w:rPr>
              <w:t>0.09</w:t>
            </w:r>
          </w:p>
        </w:tc>
        <w:tc>
          <w:tcPr>
            <w:tcW w:w="850" w:type="dxa"/>
            <w:vAlign w:val="center"/>
          </w:tcPr>
          <w:p>
            <w:pPr>
              <w:pStyle w:val="465"/>
              <w:jc w:val="center"/>
              <w:rPr>
                <w:rFonts w:hint="default" w:ascii="Times New Roman" w:hAnsi="Times New Roman" w:cs="Times New Roman"/>
              </w:rPr>
            </w:pPr>
          </w:p>
        </w:tc>
        <w:tc>
          <w:tcPr>
            <w:tcW w:w="2069" w:type="dxa"/>
            <w:vAlign w:val="center"/>
          </w:tcPr>
          <w:p>
            <w:pPr>
              <w:pStyle w:val="465"/>
              <w:jc w:val="center"/>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42" w:type="dxa"/>
            <w:vAlign w:val="center"/>
          </w:tcPr>
          <w:p>
            <w:pPr>
              <w:pStyle w:val="465"/>
              <w:jc w:val="center"/>
              <w:rPr>
                <w:rFonts w:hint="default" w:ascii="Times New Roman" w:hAnsi="Times New Roman" w:cs="Times New Roman"/>
                <w:kern w:val="0"/>
                <w:sz w:val="21"/>
                <w:szCs w:val="21"/>
                <w:lang w:val="en-US" w:eastAsia="zh-CN"/>
              </w:rPr>
            </w:pPr>
            <w:r>
              <w:rPr>
                <w:rFonts w:hint="default" w:ascii="Times New Roman" w:hAnsi="Times New Roman" w:cs="Times New Roman"/>
              </w:rPr>
              <w:t>（</w:t>
            </w:r>
            <w:r>
              <w:rPr>
                <w:rFonts w:hint="default" w:ascii="Times New Roman" w:hAnsi="Times New Roman" w:cs="Times New Roman"/>
                <w:lang w:val="en-US" w:eastAsia="zh-CN"/>
              </w:rPr>
              <w:t>三</w:t>
            </w:r>
            <w:r>
              <w:rPr>
                <w:rFonts w:hint="default" w:ascii="Times New Roman" w:hAnsi="Times New Roman" w:cs="Times New Roman"/>
              </w:rPr>
              <w:t>）</w:t>
            </w:r>
          </w:p>
        </w:tc>
        <w:tc>
          <w:tcPr>
            <w:tcW w:w="3194" w:type="dxa"/>
            <w:vAlign w:val="center"/>
          </w:tcPr>
          <w:p>
            <w:pPr>
              <w:widowControl/>
              <w:adjustRightInd/>
              <w:snapToGrid/>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lang w:val="en-US" w:eastAsia="zh-CN"/>
              </w:rPr>
              <w:t>景观绿化区</w:t>
            </w:r>
          </w:p>
        </w:tc>
        <w:tc>
          <w:tcPr>
            <w:tcW w:w="1133" w:type="dxa"/>
            <w:vAlign w:val="center"/>
          </w:tcPr>
          <w:p>
            <w:pPr>
              <w:pStyle w:val="465"/>
              <w:jc w:val="center"/>
              <w:rPr>
                <w:rFonts w:hint="default" w:ascii="Times New Roman" w:hAnsi="Times New Roman" w:cs="Times New Roman"/>
                <w:lang w:val="en-US" w:eastAsia="zh-CN"/>
              </w:rPr>
            </w:pPr>
            <w:r>
              <w:rPr>
                <w:rFonts w:hint="default" w:ascii="Times New Roman" w:hAnsi="Times New Roman" w:cs="Times New Roman"/>
                <w:lang w:val="en-US" w:eastAsia="zh-CN"/>
              </w:rPr>
              <w:t>3.58</w:t>
            </w:r>
          </w:p>
        </w:tc>
        <w:tc>
          <w:tcPr>
            <w:tcW w:w="993" w:type="dxa"/>
            <w:vAlign w:val="center"/>
          </w:tcPr>
          <w:p>
            <w:pPr>
              <w:pStyle w:val="465"/>
              <w:jc w:val="center"/>
              <w:rPr>
                <w:rFonts w:hint="default" w:ascii="Times New Roman" w:hAnsi="Times New Roman" w:cs="Times New Roman"/>
                <w:lang w:val="en-US" w:eastAsia="zh-CN"/>
              </w:rPr>
            </w:pPr>
            <w:r>
              <w:rPr>
                <w:rFonts w:hint="default" w:ascii="Times New Roman" w:hAnsi="Times New Roman" w:cs="Times New Roman"/>
                <w:lang w:val="en-US" w:eastAsia="zh-CN"/>
              </w:rPr>
              <w:t>3.58</w:t>
            </w:r>
          </w:p>
        </w:tc>
        <w:tc>
          <w:tcPr>
            <w:tcW w:w="850" w:type="dxa"/>
            <w:vAlign w:val="center"/>
          </w:tcPr>
          <w:p>
            <w:pPr>
              <w:pStyle w:val="465"/>
              <w:jc w:val="center"/>
              <w:rPr>
                <w:rFonts w:hint="default" w:ascii="Times New Roman" w:hAnsi="Times New Roman" w:cs="Times New Roman"/>
              </w:rPr>
            </w:pPr>
          </w:p>
        </w:tc>
        <w:tc>
          <w:tcPr>
            <w:tcW w:w="2069" w:type="dxa"/>
            <w:vAlign w:val="center"/>
          </w:tcPr>
          <w:p>
            <w:pPr>
              <w:pStyle w:val="465"/>
              <w:jc w:val="center"/>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42" w:type="dxa"/>
            <w:vAlign w:val="center"/>
          </w:tcPr>
          <w:p>
            <w:pPr>
              <w:widowControl/>
              <w:adjustRightInd/>
              <w:snapToGrid/>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w:t>
            </w:r>
          </w:p>
        </w:tc>
        <w:tc>
          <w:tcPr>
            <w:tcW w:w="3194" w:type="dxa"/>
            <w:vAlign w:val="center"/>
          </w:tcPr>
          <w:p>
            <w:pPr>
              <w:widowControl/>
              <w:adjustRightInd/>
              <w:snapToGrid/>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表土剥离</w:t>
            </w:r>
          </w:p>
        </w:tc>
        <w:tc>
          <w:tcPr>
            <w:tcW w:w="1133" w:type="dxa"/>
            <w:vAlign w:val="center"/>
          </w:tcPr>
          <w:p>
            <w:pPr>
              <w:pStyle w:val="465"/>
              <w:jc w:val="center"/>
              <w:rPr>
                <w:rFonts w:hint="default" w:ascii="Times New Roman" w:hAnsi="Times New Roman" w:cs="Times New Roman"/>
                <w:lang w:val="en-US" w:eastAsia="zh-CN"/>
              </w:rPr>
            </w:pPr>
            <w:r>
              <w:rPr>
                <w:rFonts w:hint="default" w:ascii="Times New Roman" w:hAnsi="Times New Roman" w:cs="Times New Roman"/>
                <w:lang w:val="en-US" w:eastAsia="zh-CN"/>
              </w:rPr>
              <w:t>1.66</w:t>
            </w:r>
          </w:p>
        </w:tc>
        <w:tc>
          <w:tcPr>
            <w:tcW w:w="993" w:type="dxa"/>
            <w:vAlign w:val="center"/>
          </w:tcPr>
          <w:p>
            <w:pPr>
              <w:pStyle w:val="465"/>
              <w:jc w:val="center"/>
              <w:rPr>
                <w:rFonts w:hint="default" w:ascii="Times New Roman" w:hAnsi="Times New Roman" w:cs="Times New Roman"/>
                <w:lang w:val="en-US" w:eastAsia="zh-CN"/>
              </w:rPr>
            </w:pPr>
            <w:r>
              <w:rPr>
                <w:rFonts w:hint="default" w:ascii="Times New Roman" w:hAnsi="Times New Roman" w:cs="Times New Roman"/>
                <w:lang w:val="en-US" w:eastAsia="zh-CN"/>
              </w:rPr>
              <w:t>1.66</w:t>
            </w:r>
          </w:p>
        </w:tc>
        <w:tc>
          <w:tcPr>
            <w:tcW w:w="850" w:type="dxa"/>
            <w:vAlign w:val="center"/>
          </w:tcPr>
          <w:p>
            <w:pPr>
              <w:pStyle w:val="465"/>
              <w:jc w:val="center"/>
              <w:rPr>
                <w:rFonts w:hint="default" w:ascii="Times New Roman" w:hAnsi="Times New Roman" w:cs="Times New Roman"/>
              </w:rPr>
            </w:pPr>
          </w:p>
        </w:tc>
        <w:tc>
          <w:tcPr>
            <w:tcW w:w="2069" w:type="dxa"/>
            <w:vAlign w:val="center"/>
          </w:tcPr>
          <w:p>
            <w:pPr>
              <w:pStyle w:val="465"/>
              <w:jc w:val="center"/>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42" w:type="dxa"/>
            <w:vAlign w:val="center"/>
          </w:tcPr>
          <w:p>
            <w:pPr>
              <w:widowControl/>
              <w:adjustRightInd/>
              <w:snapToGrid/>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w:t>
            </w:r>
          </w:p>
        </w:tc>
        <w:tc>
          <w:tcPr>
            <w:tcW w:w="3194" w:type="dxa"/>
            <w:vAlign w:val="center"/>
          </w:tcPr>
          <w:p>
            <w:pPr>
              <w:widowControl/>
              <w:adjustRightInd/>
              <w:snapToGrid/>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覆土</w:t>
            </w:r>
          </w:p>
        </w:tc>
        <w:tc>
          <w:tcPr>
            <w:tcW w:w="1133" w:type="dxa"/>
            <w:vAlign w:val="center"/>
          </w:tcPr>
          <w:p>
            <w:pPr>
              <w:pStyle w:val="465"/>
              <w:jc w:val="center"/>
              <w:rPr>
                <w:rFonts w:hint="default" w:ascii="Times New Roman" w:hAnsi="Times New Roman" w:cs="Times New Roman"/>
                <w:lang w:val="en-US" w:eastAsia="zh-CN"/>
              </w:rPr>
            </w:pPr>
            <w:r>
              <w:rPr>
                <w:rFonts w:hint="default" w:ascii="Times New Roman" w:hAnsi="Times New Roman" w:cs="Times New Roman"/>
                <w:lang w:val="en-US" w:eastAsia="zh-CN"/>
              </w:rPr>
              <w:t>1.81</w:t>
            </w:r>
          </w:p>
        </w:tc>
        <w:tc>
          <w:tcPr>
            <w:tcW w:w="993" w:type="dxa"/>
            <w:vAlign w:val="center"/>
          </w:tcPr>
          <w:p>
            <w:pPr>
              <w:pStyle w:val="465"/>
              <w:jc w:val="center"/>
              <w:rPr>
                <w:rFonts w:hint="default" w:ascii="Times New Roman" w:hAnsi="Times New Roman" w:cs="Times New Roman"/>
                <w:lang w:val="en-US" w:eastAsia="zh-CN"/>
              </w:rPr>
            </w:pPr>
            <w:r>
              <w:rPr>
                <w:rFonts w:hint="default" w:ascii="Times New Roman" w:hAnsi="Times New Roman" w:cs="Times New Roman"/>
                <w:lang w:val="en-US" w:eastAsia="zh-CN"/>
              </w:rPr>
              <w:t>1.81</w:t>
            </w:r>
          </w:p>
        </w:tc>
        <w:tc>
          <w:tcPr>
            <w:tcW w:w="850" w:type="dxa"/>
            <w:vAlign w:val="center"/>
          </w:tcPr>
          <w:p>
            <w:pPr>
              <w:pStyle w:val="465"/>
              <w:jc w:val="center"/>
              <w:rPr>
                <w:rFonts w:hint="default" w:ascii="Times New Roman" w:hAnsi="Times New Roman" w:cs="Times New Roman"/>
              </w:rPr>
            </w:pPr>
          </w:p>
        </w:tc>
        <w:tc>
          <w:tcPr>
            <w:tcW w:w="2069" w:type="dxa"/>
            <w:vAlign w:val="center"/>
          </w:tcPr>
          <w:p>
            <w:pPr>
              <w:pStyle w:val="465"/>
              <w:jc w:val="center"/>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42" w:type="dxa"/>
            <w:vAlign w:val="center"/>
          </w:tcPr>
          <w:p>
            <w:pPr>
              <w:widowControl/>
              <w:adjustRightInd/>
              <w:snapToGrid/>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w:t>
            </w:r>
          </w:p>
        </w:tc>
        <w:tc>
          <w:tcPr>
            <w:tcW w:w="3194" w:type="dxa"/>
            <w:vAlign w:val="center"/>
          </w:tcPr>
          <w:p>
            <w:pPr>
              <w:widowControl/>
              <w:adjustRightInd/>
              <w:snapToGrid/>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场地整平</w:t>
            </w:r>
          </w:p>
        </w:tc>
        <w:tc>
          <w:tcPr>
            <w:tcW w:w="1133" w:type="dxa"/>
            <w:vAlign w:val="center"/>
          </w:tcPr>
          <w:p>
            <w:pPr>
              <w:pStyle w:val="465"/>
              <w:jc w:val="center"/>
              <w:rPr>
                <w:rFonts w:hint="default" w:ascii="Times New Roman" w:hAnsi="Times New Roman" w:cs="Times New Roman"/>
                <w:lang w:val="en-US" w:eastAsia="zh-CN"/>
              </w:rPr>
            </w:pPr>
            <w:r>
              <w:rPr>
                <w:rFonts w:hint="default" w:ascii="Times New Roman" w:hAnsi="Times New Roman" w:cs="Times New Roman"/>
                <w:lang w:val="en-US" w:eastAsia="zh-CN"/>
              </w:rPr>
              <w:t>0.11</w:t>
            </w:r>
          </w:p>
        </w:tc>
        <w:tc>
          <w:tcPr>
            <w:tcW w:w="993" w:type="dxa"/>
            <w:vAlign w:val="center"/>
          </w:tcPr>
          <w:p>
            <w:pPr>
              <w:pStyle w:val="465"/>
              <w:jc w:val="center"/>
              <w:rPr>
                <w:rFonts w:hint="default" w:ascii="Times New Roman" w:hAnsi="Times New Roman" w:cs="Times New Roman"/>
                <w:lang w:val="en-US" w:eastAsia="zh-CN"/>
              </w:rPr>
            </w:pPr>
            <w:r>
              <w:rPr>
                <w:rFonts w:hint="default" w:ascii="Times New Roman" w:hAnsi="Times New Roman" w:cs="Times New Roman"/>
                <w:lang w:val="en-US" w:eastAsia="zh-CN"/>
              </w:rPr>
              <w:t>0.11</w:t>
            </w:r>
          </w:p>
        </w:tc>
        <w:tc>
          <w:tcPr>
            <w:tcW w:w="850" w:type="dxa"/>
            <w:vAlign w:val="center"/>
          </w:tcPr>
          <w:p>
            <w:pPr>
              <w:pStyle w:val="465"/>
              <w:jc w:val="center"/>
              <w:rPr>
                <w:rFonts w:hint="default" w:ascii="Times New Roman" w:hAnsi="Times New Roman" w:cs="Times New Roman"/>
              </w:rPr>
            </w:pPr>
          </w:p>
        </w:tc>
        <w:tc>
          <w:tcPr>
            <w:tcW w:w="2069" w:type="dxa"/>
            <w:vAlign w:val="center"/>
          </w:tcPr>
          <w:p>
            <w:pPr>
              <w:pStyle w:val="465"/>
              <w:jc w:val="center"/>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42" w:type="dxa"/>
            <w:vAlign w:val="center"/>
          </w:tcPr>
          <w:p>
            <w:pPr>
              <w:widowControl/>
              <w:adjustRightInd/>
              <w:snapToGrid/>
              <w:spacing w:line="240" w:lineRule="auto"/>
              <w:ind w:firstLine="0" w:firstLineChars="0"/>
              <w:jc w:val="center"/>
              <w:rPr>
                <w:rFonts w:hint="default" w:ascii="Times New Roman" w:hAnsi="Times New Roman" w:cs="Times New Roman"/>
                <w:kern w:val="0"/>
                <w:sz w:val="21"/>
                <w:szCs w:val="21"/>
              </w:rPr>
            </w:pPr>
          </w:p>
        </w:tc>
        <w:tc>
          <w:tcPr>
            <w:tcW w:w="3194" w:type="dxa"/>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第二部分 临时措施</w:t>
            </w:r>
          </w:p>
        </w:tc>
        <w:tc>
          <w:tcPr>
            <w:tcW w:w="1133" w:type="dxa"/>
            <w:vAlign w:val="center"/>
          </w:tcPr>
          <w:p>
            <w:pPr>
              <w:pStyle w:val="465"/>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53.28</w:t>
            </w:r>
          </w:p>
        </w:tc>
        <w:tc>
          <w:tcPr>
            <w:tcW w:w="993" w:type="dxa"/>
            <w:vAlign w:val="center"/>
          </w:tcPr>
          <w:p>
            <w:pPr>
              <w:pStyle w:val="465"/>
              <w:jc w:val="center"/>
              <w:rPr>
                <w:rFonts w:hint="default" w:ascii="Times New Roman" w:hAnsi="Times New Roman" w:cs="Times New Roman"/>
              </w:rPr>
            </w:pPr>
            <w:r>
              <w:rPr>
                <w:rFonts w:hint="default" w:ascii="Times New Roman" w:hAnsi="Times New Roman" w:cs="Times New Roman"/>
                <w:lang w:val="en-US" w:eastAsia="zh-CN"/>
              </w:rPr>
              <w:t>53.28</w:t>
            </w:r>
          </w:p>
        </w:tc>
        <w:tc>
          <w:tcPr>
            <w:tcW w:w="850" w:type="dxa"/>
            <w:vAlign w:val="center"/>
          </w:tcPr>
          <w:p>
            <w:pPr>
              <w:pStyle w:val="465"/>
              <w:jc w:val="center"/>
              <w:rPr>
                <w:rFonts w:hint="default" w:ascii="Times New Roman" w:hAnsi="Times New Roman" w:cs="Times New Roman"/>
              </w:rPr>
            </w:pPr>
          </w:p>
        </w:tc>
        <w:tc>
          <w:tcPr>
            <w:tcW w:w="2069" w:type="dxa"/>
            <w:vAlign w:val="center"/>
          </w:tcPr>
          <w:p>
            <w:pPr>
              <w:pStyle w:val="465"/>
              <w:jc w:val="center"/>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42" w:type="dxa"/>
            <w:vAlign w:val="center"/>
          </w:tcPr>
          <w:p>
            <w:pPr>
              <w:pStyle w:val="465"/>
              <w:jc w:val="center"/>
              <w:rPr>
                <w:rFonts w:hint="default" w:ascii="Times New Roman" w:hAnsi="Times New Roman" w:eastAsia="宋体" w:cs="Times New Roman"/>
                <w:kern w:val="0"/>
                <w:sz w:val="21"/>
                <w:szCs w:val="21"/>
                <w:lang w:eastAsia="zh-CN"/>
              </w:rPr>
            </w:pPr>
            <w:r>
              <w:rPr>
                <w:rFonts w:hint="default" w:ascii="Times New Roman" w:hAnsi="Times New Roman" w:cs="Times New Roman"/>
              </w:rPr>
              <w:t>（</w:t>
            </w:r>
            <w:r>
              <w:rPr>
                <w:rFonts w:hint="default" w:ascii="Times New Roman" w:hAnsi="Times New Roman" w:cs="Times New Roman"/>
                <w:lang w:val="en-US" w:eastAsia="zh-CN"/>
              </w:rPr>
              <w:t>一</w:t>
            </w:r>
            <w:r>
              <w:rPr>
                <w:rFonts w:hint="default" w:ascii="Times New Roman" w:hAnsi="Times New Roman" w:cs="Times New Roman"/>
              </w:rPr>
              <w:t>）</w:t>
            </w:r>
          </w:p>
        </w:tc>
        <w:tc>
          <w:tcPr>
            <w:tcW w:w="3194" w:type="dxa"/>
            <w:vAlign w:val="center"/>
          </w:tcPr>
          <w:p>
            <w:pPr>
              <w:widowControl/>
              <w:adjustRightInd/>
              <w:snapToGrid/>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rPr>
              <w:t>主体建筑物区</w:t>
            </w:r>
          </w:p>
        </w:tc>
        <w:tc>
          <w:tcPr>
            <w:tcW w:w="1133" w:type="dxa"/>
            <w:vAlign w:val="center"/>
          </w:tcPr>
          <w:p>
            <w:pPr>
              <w:pStyle w:val="465"/>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30.96</w:t>
            </w:r>
          </w:p>
        </w:tc>
        <w:tc>
          <w:tcPr>
            <w:tcW w:w="993" w:type="dxa"/>
            <w:vAlign w:val="center"/>
          </w:tcPr>
          <w:p>
            <w:pPr>
              <w:pStyle w:val="465"/>
              <w:jc w:val="center"/>
              <w:rPr>
                <w:rFonts w:hint="default" w:ascii="Times New Roman" w:hAnsi="Times New Roman" w:cs="Times New Roman"/>
              </w:rPr>
            </w:pPr>
            <w:r>
              <w:rPr>
                <w:rFonts w:hint="default" w:ascii="Times New Roman" w:hAnsi="Times New Roman" w:cs="Times New Roman"/>
                <w:lang w:val="en-US" w:eastAsia="zh-CN"/>
              </w:rPr>
              <w:t>30.96</w:t>
            </w:r>
          </w:p>
        </w:tc>
        <w:tc>
          <w:tcPr>
            <w:tcW w:w="850" w:type="dxa"/>
            <w:vAlign w:val="center"/>
          </w:tcPr>
          <w:p>
            <w:pPr>
              <w:pStyle w:val="465"/>
              <w:jc w:val="center"/>
              <w:rPr>
                <w:rFonts w:hint="default" w:ascii="Times New Roman" w:hAnsi="Times New Roman" w:cs="Times New Roman"/>
              </w:rPr>
            </w:pPr>
          </w:p>
        </w:tc>
        <w:tc>
          <w:tcPr>
            <w:tcW w:w="2069" w:type="dxa"/>
            <w:vAlign w:val="center"/>
          </w:tcPr>
          <w:p>
            <w:pPr>
              <w:pStyle w:val="465"/>
              <w:jc w:val="center"/>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42" w:type="dxa"/>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1</w:t>
            </w:r>
          </w:p>
        </w:tc>
        <w:tc>
          <w:tcPr>
            <w:tcW w:w="3194" w:type="dxa"/>
            <w:vAlign w:val="center"/>
          </w:tcPr>
          <w:p>
            <w:pPr>
              <w:pStyle w:val="459"/>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lang w:val="en-US" w:eastAsia="zh-CN"/>
              </w:rPr>
              <w:t>临时沉砂池</w:t>
            </w:r>
          </w:p>
        </w:tc>
        <w:tc>
          <w:tcPr>
            <w:tcW w:w="1133" w:type="dxa"/>
            <w:vAlign w:val="center"/>
          </w:tcPr>
          <w:p>
            <w:pPr>
              <w:pStyle w:val="465"/>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3.89</w:t>
            </w:r>
          </w:p>
        </w:tc>
        <w:tc>
          <w:tcPr>
            <w:tcW w:w="993" w:type="dxa"/>
            <w:vAlign w:val="center"/>
          </w:tcPr>
          <w:p>
            <w:pPr>
              <w:pStyle w:val="465"/>
              <w:jc w:val="center"/>
              <w:rPr>
                <w:rFonts w:hint="default" w:ascii="Times New Roman" w:hAnsi="Times New Roman" w:cs="Times New Roman"/>
              </w:rPr>
            </w:pPr>
            <w:r>
              <w:rPr>
                <w:rFonts w:hint="default" w:ascii="Times New Roman" w:hAnsi="Times New Roman" w:cs="Times New Roman"/>
                <w:lang w:val="en-US" w:eastAsia="zh-CN"/>
              </w:rPr>
              <w:t>3.89</w:t>
            </w:r>
          </w:p>
        </w:tc>
        <w:tc>
          <w:tcPr>
            <w:tcW w:w="850" w:type="dxa"/>
            <w:vAlign w:val="center"/>
          </w:tcPr>
          <w:p>
            <w:pPr>
              <w:pStyle w:val="465"/>
              <w:jc w:val="center"/>
              <w:rPr>
                <w:rFonts w:hint="default" w:ascii="Times New Roman" w:hAnsi="Times New Roman" w:cs="Times New Roman"/>
              </w:rPr>
            </w:pPr>
          </w:p>
        </w:tc>
        <w:tc>
          <w:tcPr>
            <w:tcW w:w="2069" w:type="dxa"/>
            <w:vAlign w:val="center"/>
          </w:tcPr>
          <w:p>
            <w:pPr>
              <w:pStyle w:val="465"/>
              <w:jc w:val="center"/>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42" w:type="dxa"/>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2</w:t>
            </w:r>
          </w:p>
        </w:tc>
        <w:tc>
          <w:tcPr>
            <w:tcW w:w="3194" w:type="dxa"/>
            <w:vAlign w:val="center"/>
          </w:tcPr>
          <w:p>
            <w:pPr>
              <w:pStyle w:val="459"/>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kern w:val="0"/>
                <w:sz w:val="21"/>
                <w:szCs w:val="21"/>
                <w:lang w:val="en-US" w:eastAsia="zh-CN"/>
              </w:rPr>
              <w:t>泥浆沉淀池</w:t>
            </w:r>
          </w:p>
        </w:tc>
        <w:tc>
          <w:tcPr>
            <w:tcW w:w="1133" w:type="dxa"/>
            <w:vAlign w:val="center"/>
          </w:tcPr>
          <w:p>
            <w:pPr>
              <w:pStyle w:val="465"/>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2.75</w:t>
            </w:r>
          </w:p>
        </w:tc>
        <w:tc>
          <w:tcPr>
            <w:tcW w:w="993" w:type="dxa"/>
            <w:vAlign w:val="center"/>
          </w:tcPr>
          <w:p>
            <w:pPr>
              <w:pStyle w:val="465"/>
              <w:jc w:val="center"/>
              <w:rPr>
                <w:rFonts w:hint="default" w:ascii="Times New Roman" w:hAnsi="Times New Roman" w:cs="Times New Roman"/>
              </w:rPr>
            </w:pPr>
            <w:r>
              <w:rPr>
                <w:rFonts w:hint="default" w:ascii="Times New Roman" w:hAnsi="Times New Roman" w:cs="Times New Roman"/>
                <w:lang w:val="en-US" w:eastAsia="zh-CN"/>
              </w:rPr>
              <w:t>2.75</w:t>
            </w:r>
          </w:p>
        </w:tc>
        <w:tc>
          <w:tcPr>
            <w:tcW w:w="850" w:type="dxa"/>
            <w:vAlign w:val="center"/>
          </w:tcPr>
          <w:p>
            <w:pPr>
              <w:pStyle w:val="465"/>
              <w:jc w:val="center"/>
              <w:rPr>
                <w:rFonts w:hint="default" w:ascii="Times New Roman" w:hAnsi="Times New Roman" w:cs="Times New Roman"/>
              </w:rPr>
            </w:pPr>
          </w:p>
        </w:tc>
        <w:tc>
          <w:tcPr>
            <w:tcW w:w="2069" w:type="dxa"/>
            <w:vAlign w:val="center"/>
          </w:tcPr>
          <w:p>
            <w:pPr>
              <w:pStyle w:val="465"/>
              <w:jc w:val="center"/>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42" w:type="dxa"/>
            <w:vAlign w:val="center"/>
          </w:tcPr>
          <w:p>
            <w:pPr>
              <w:widowControl/>
              <w:adjustRightInd/>
              <w:snapToGrid/>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w:t>
            </w:r>
          </w:p>
        </w:tc>
        <w:tc>
          <w:tcPr>
            <w:tcW w:w="3194" w:type="dxa"/>
            <w:vAlign w:val="center"/>
          </w:tcPr>
          <w:p>
            <w:pPr>
              <w:pStyle w:val="459"/>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临时排水沟</w:t>
            </w:r>
          </w:p>
        </w:tc>
        <w:tc>
          <w:tcPr>
            <w:tcW w:w="1133" w:type="dxa"/>
            <w:vAlign w:val="center"/>
          </w:tcPr>
          <w:p>
            <w:pPr>
              <w:pStyle w:val="465"/>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4.73</w:t>
            </w:r>
          </w:p>
        </w:tc>
        <w:tc>
          <w:tcPr>
            <w:tcW w:w="993" w:type="dxa"/>
            <w:vAlign w:val="center"/>
          </w:tcPr>
          <w:p>
            <w:pPr>
              <w:pStyle w:val="465"/>
              <w:jc w:val="center"/>
              <w:rPr>
                <w:rFonts w:hint="default" w:ascii="Times New Roman" w:hAnsi="Times New Roman" w:cs="Times New Roman"/>
              </w:rPr>
            </w:pPr>
            <w:r>
              <w:rPr>
                <w:rFonts w:hint="default" w:ascii="Times New Roman" w:hAnsi="Times New Roman" w:cs="Times New Roman"/>
                <w:lang w:val="en-US" w:eastAsia="zh-CN"/>
              </w:rPr>
              <w:t>4.73</w:t>
            </w:r>
          </w:p>
        </w:tc>
        <w:tc>
          <w:tcPr>
            <w:tcW w:w="850" w:type="dxa"/>
            <w:vAlign w:val="center"/>
          </w:tcPr>
          <w:p>
            <w:pPr>
              <w:pStyle w:val="465"/>
              <w:jc w:val="center"/>
              <w:rPr>
                <w:rFonts w:hint="default" w:ascii="Times New Roman" w:hAnsi="Times New Roman" w:cs="Times New Roman"/>
              </w:rPr>
            </w:pPr>
          </w:p>
        </w:tc>
        <w:tc>
          <w:tcPr>
            <w:tcW w:w="2069" w:type="dxa"/>
            <w:vAlign w:val="center"/>
          </w:tcPr>
          <w:p>
            <w:pPr>
              <w:pStyle w:val="465"/>
              <w:jc w:val="center"/>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42" w:type="dxa"/>
            <w:vAlign w:val="center"/>
          </w:tcPr>
          <w:p>
            <w:pPr>
              <w:widowControl/>
              <w:adjustRightInd/>
              <w:snapToGrid/>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w:t>
            </w:r>
          </w:p>
        </w:tc>
        <w:tc>
          <w:tcPr>
            <w:tcW w:w="3194" w:type="dxa"/>
            <w:vAlign w:val="center"/>
          </w:tcPr>
          <w:p>
            <w:pPr>
              <w:pStyle w:val="459"/>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车辆清洁池</w:t>
            </w:r>
          </w:p>
        </w:tc>
        <w:tc>
          <w:tcPr>
            <w:tcW w:w="1133" w:type="dxa"/>
            <w:vAlign w:val="center"/>
          </w:tcPr>
          <w:p>
            <w:pPr>
              <w:pStyle w:val="465"/>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10.42</w:t>
            </w:r>
          </w:p>
        </w:tc>
        <w:tc>
          <w:tcPr>
            <w:tcW w:w="993" w:type="dxa"/>
            <w:vAlign w:val="center"/>
          </w:tcPr>
          <w:p>
            <w:pPr>
              <w:pStyle w:val="465"/>
              <w:jc w:val="center"/>
              <w:rPr>
                <w:rFonts w:hint="default" w:ascii="Times New Roman" w:hAnsi="Times New Roman" w:cs="Times New Roman"/>
              </w:rPr>
            </w:pPr>
            <w:r>
              <w:rPr>
                <w:rFonts w:hint="default" w:ascii="Times New Roman" w:hAnsi="Times New Roman" w:cs="Times New Roman"/>
                <w:lang w:val="en-US" w:eastAsia="zh-CN"/>
              </w:rPr>
              <w:t>10.42</w:t>
            </w:r>
          </w:p>
        </w:tc>
        <w:tc>
          <w:tcPr>
            <w:tcW w:w="850" w:type="dxa"/>
            <w:vAlign w:val="center"/>
          </w:tcPr>
          <w:p>
            <w:pPr>
              <w:pStyle w:val="465"/>
              <w:jc w:val="center"/>
              <w:rPr>
                <w:rFonts w:hint="default" w:ascii="Times New Roman" w:hAnsi="Times New Roman" w:cs="Times New Roman"/>
              </w:rPr>
            </w:pPr>
          </w:p>
        </w:tc>
        <w:tc>
          <w:tcPr>
            <w:tcW w:w="2069" w:type="dxa"/>
            <w:vAlign w:val="center"/>
          </w:tcPr>
          <w:p>
            <w:pPr>
              <w:pStyle w:val="465"/>
              <w:jc w:val="center"/>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42" w:type="dxa"/>
            <w:vAlign w:val="center"/>
          </w:tcPr>
          <w:p>
            <w:pPr>
              <w:widowControl/>
              <w:adjustRightInd/>
              <w:snapToGrid/>
              <w:spacing w:line="240" w:lineRule="auto"/>
              <w:ind w:firstLine="0" w:firstLineChars="0"/>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w:t>
            </w:r>
          </w:p>
        </w:tc>
        <w:tc>
          <w:tcPr>
            <w:tcW w:w="3194" w:type="dxa"/>
            <w:vAlign w:val="center"/>
          </w:tcPr>
          <w:p>
            <w:pPr>
              <w:pStyle w:val="459"/>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铺塑料薄膜</w:t>
            </w:r>
          </w:p>
        </w:tc>
        <w:tc>
          <w:tcPr>
            <w:tcW w:w="1133" w:type="dxa"/>
            <w:vAlign w:val="center"/>
          </w:tcPr>
          <w:p>
            <w:pPr>
              <w:pStyle w:val="465"/>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9.18</w:t>
            </w:r>
          </w:p>
        </w:tc>
        <w:tc>
          <w:tcPr>
            <w:tcW w:w="993" w:type="dxa"/>
            <w:vAlign w:val="center"/>
          </w:tcPr>
          <w:p>
            <w:pPr>
              <w:pStyle w:val="465"/>
              <w:jc w:val="center"/>
              <w:rPr>
                <w:rFonts w:hint="default" w:ascii="Times New Roman" w:hAnsi="Times New Roman" w:cs="Times New Roman"/>
              </w:rPr>
            </w:pPr>
            <w:r>
              <w:rPr>
                <w:rFonts w:hint="default" w:ascii="Times New Roman" w:hAnsi="Times New Roman" w:cs="Times New Roman"/>
                <w:lang w:val="en-US" w:eastAsia="zh-CN"/>
              </w:rPr>
              <w:t>9.18</w:t>
            </w:r>
          </w:p>
        </w:tc>
        <w:tc>
          <w:tcPr>
            <w:tcW w:w="850" w:type="dxa"/>
            <w:vAlign w:val="center"/>
          </w:tcPr>
          <w:p>
            <w:pPr>
              <w:pStyle w:val="465"/>
              <w:jc w:val="center"/>
              <w:rPr>
                <w:rFonts w:hint="default" w:ascii="Times New Roman" w:hAnsi="Times New Roman" w:cs="Times New Roman"/>
              </w:rPr>
            </w:pPr>
          </w:p>
        </w:tc>
        <w:tc>
          <w:tcPr>
            <w:tcW w:w="2069" w:type="dxa"/>
            <w:vAlign w:val="center"/>
          </w:tcPr>
          <w:p>
            <w:pPr>
              <w:pStyle w:val="465"/>
              <w:jc w:val="center"/>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42" w:type="dxa"/>
            <w:vAlign w:val="center"/>
          </w:tcPr>
          <w:p>
            <w:pPr>
              <w:pStyle w:val="465"/>
              <w:jc w:val="center"/>
              <w:rPr>
                <w:rFonts w:hint="default" w:ascii="Times New Roman" w:hAnsi="Times New Roman" w:cs="Times New Roman"/>
                <w:kern w:val="0"/>
                <w:sz w:val="21"/>
                <w:szCs w:val="21"/>
              </w:rPr>
            </w:pPr>
            <w:r>
              <w:rPr>
                <w:rFonts w:hint="default" w:ascii="Times New Roman" w:hAnsi="Times New Roman" w:cs="Times New Roman"/>
              </w:rPr>
              <w:t>（</w:t>
            </w:r>
            <w:r>
              <w:rPr>
                <w:rFonts w:hint="default" w:ascii="Times New Roman" w:hAnsi="Times New Roman" w:cs="Times New Roman"/>
                <w:lang w:val="en-US" w:eastAsia="zh-CN"/>
              </w:rPr>
              <w:t>二</w:t>
            </w:r>
            <w:r>
              <w:rPr>
                <w:rFonts w:hint="default" w:ascii="Times New Roman" w:hAnsi="Times New Roman" w:cs="Times New Roman"/>
              </w:rPr>
              <w:t>）</w:t>
            </w:r>
          </w:p>
        </w:tc>
        <w:tc>
          <w:tcPr>
            <w:tcW w:w="3194" w:type="dxa"/>
            <w:vAlign w:val="center"/>
          </w:tcPr>
          <w:p>
            <w:pPr>
              <w:widowControl/>
              <w:adjustRightInd/>
              <w:snapToGrid/>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rPr>
              <w:t>道路</w:t>
            </w:r>
            <w:r>
              <w:rPr>
                <w:rFonts w:hint="default" w:ascii="Times New Roman" w:hAnsi="Times New Roman" w:cs="Times New Roman"/>
                <w:lang w:val="en-US" w:eastAsia="zh-CN"/>
              </w:rPr>
              <w:t>广</w:t>
            </w:r>
            <w:r>
              <w:rPr>
                <w:rFonts w:hint="default" w:ascii="Times New Roman" w:hAnsi="Times New Roman" w:cs="Times New Roman"/>
              </w:rPr>
              <w:t>场区</w:t>
            </w:r>
          </w:p>
        </w:tc>
        <w:tc>
          <w:tcPr>
            <w:tcW w:w="1133" w:type="dxa"/>
            <w:vAlign w:val="center"/>
          </w:tcPr>
          <w:p>
            <w:pPr>
              <w:pStyle w:val="465"/>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7.89</w:t>
            </w:r>
          </w:p>
        </w:tc>
        <w:tc>
          <w:tcPr>
            <w:tcW w:w="993" w:type="dxa"/>
            <w:vAlign w:val="center"/>
          </w:tcPr>
          <w:p>
            <w:pPr>
              <w:pStyle w:val="465"/>
              <w:jc w:val="center"/>
              <w:rPr>
                <w:rFonts w:hint="default" w:ascii="Times New Roman" w:hAnsi="Times New Roman" w:cs="Times New Roman"/>
              </w:rPr>
            </w:pPr>
            <w:r>
              <w:rPr>
                <w:rFonts w:hint="default" w:ascii="Times New Roman" w:hAnsi="Times New Roman" w:cs="Times New Roman"/>
                <w:lang w:val="en-US" w:eastAsia="zh-CN"/>
              </w:rPr>
              <w:t>7.89</w:t>
            </w:r>
          </w:p>
        </w:tc>
        <w:tc>
          <w:tcPr>
            <w:tcW w:w="850" w:type="dxa"/>
            <w:vAlign w:val="center"/>
          </w:tcPr>
          <w:p>
            <w:pPr>
              <w:pStyle w:val="465"/>
              <w:jc w:val="center"/>
              <w:rPr>
                <w:rFonts w:hint="default" w:ascii="Times New Roman" w:hAnsi="Times New Roman" w:cs="Times New Roman"/>
              </w:rPr>
            </w:pPr>
          </w:p>
        </w:tc>
        <w:tc>
          <w:tcPr>
            <w:tcW w:w="2069" w:type="dxa"/>
            <w:vAlign w:val="center"/>
          </w:tcPr>
          <w:p>
            <w:pPr>
              <w:pStyle w:val="465"/>
              <w:jc w:val="center"/>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42" w:type="dxa"/>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1</w:t>
            </w:r>
          </w:p>
        </w:tc>
        <w:tc>
          <w:tcPr>
            <w:tcW w:w="3194" w:type="dxa"/>
            <w:vAlign w:val="center"/>
          </w:tcPr>
          <w:p>
            <w:pPr>
              <w:pStyle w:val="459"/>
              <w:jc w:val="center"/>
              <w:rPr>
                <w:rFonts w:hint="default" w:ascii="Times New Roman" w:hAnsi="Times New Roman" w:cs="Times New Roman" w:eastAsiaTheme="minorEastAsia"/>
                <w:kern w:val="0"/>
                <w:sz w:val="21"/>
                <w:szCs w:val="21"/>
                <w:lang w:eastAsia="zh-CN"/>
              </w:rPr>
            </w:pPr>
            <w:r>
              <w:rPr>
                <w:rFonts w:hint="default" w:ascii="Times New Roman" w:hAnsi="Times New Roman" w:cs="Times New Roman"/>
                <w:lang w:val="en-US" w:eastAsia="zh-CN"/>
              </w:rPr>
              <w:t>沉砂池</w:t>
            </w:r>
          </w:p>
        </w:tc>
        <w:tc>
          <w:tcPr>
            <w:tcW w:w="1133" w:type="dxa"/>
            <w:vAlign w:val="center"/>
          </w:tcPr>
          <w:p>
            <w:pPr>
              <w:pStyle w:val="465"/>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2.33</w:t>
            </w:r>
          </w:p>
        </w:tc>
        <w:tc>
          <w:tcPr>
            <w:tcW w:w="993" w:type="dxa"/>
            <w:vAlign w:val="center"/>
          </w:tcPr>
          <w:p>
            <w:pPr>
              <w:pStyle w:val="465"/>
              <w:jc w:val="center"/>
              <w:rPr>
                <w:rFonts w:hint="default" w:ascii="Times New Roman" w:hAnsi="Times New Roman" w:cs="Times New Roman"/>
              </w:rPr>
            </w:pPr>
            <w:r>
              <w:rPr>
                <w:rFonts w:hint="default" w:ascii="Times New Roman" w:hAnsi="Times New Roman" w:cs="Times New Roman"/>
                <w:lang w:val="en-US" w:eastAsia="zh-CN"/>
              </w:rPr>
              <w:t>2.33</w:t>
            </w:r>
          </w:p>
        </w:tc>
        <w:tc>
          <w:tcPr>
            <w:tcW w:w="850" w:type="dxa"/>
            <w:vAlign w:val="center"/>
          </w:tcPr>
          <w:p>
            <w:pPr>
              <w:pStyle w:val="465"/>
              <w:jc w:val="center"/>
              <w:rPr>
                <w:rFonts w:hint="default" w:ascii="Times New Roman" w:hAnsi="Times New Roman" w:cs="Times New Roman"/>
              </w:rPr>
            </w:pPr>
          </w:p>
        </w:tc>
        <w:tc>
          <w:tcPr>
            <w:tcW w:w="2069" w:type="dxa"/>
            <w:vAlign w:val="center"/>
          </w:tcPr>
          <w:p>
            <w:pPr>
              <w:pStyle w:val="465"/>
              <w:jc w:val="center"/>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42" w:type="dxa"/>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2</w:t>
            </w:r>
          </w:p>
        </w:tc>
        <w:tc>
          <w:tcPr>
            <w:tcW w:w="3194" w:type="dxa"/>
            <w:vAlign w:val="center"/>
          </w:tcPr>
          <w:p>
            <w:pPr>
              <w:pStyle w:val="459"/>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kern w:val="0"/>
                <w:sz w:val="21"/>
                <w:szCs w:val="21"/>
                <w:lang w:val="en-US" w:eastAsia="zh-CN"/>
              </w:rPr>
              <w:t>排水沟</w:t>
            </w:r>
          </w:p>
        </w:tc>
        <w:tc>
          <w:tcPr>
            <w:tcW w:w="1133" w:type="dxa"/>
            <w:vAlign w:val="center"/>
          </w:tcPr>
          <w:p>
            <w:pPr>
              <w:pStyle w:val="465"/>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2.28</w:t>
            </w:r>
          </w:p>
        </w:tc>
        <w:tc>
          <w:tcPr>
            <w:tcW w:w="993" w:type="dxa"/>
            <w:vAlign w:val="center"/>
          </w:tcPr>
          <w:p>
            <w:pPr>
              <w:pStyle w:val="465"/>
              <w:jc w:val="center"/>
              <w:rPr>
                <w:rFonts w:hint="default" w:ascii="Times New Roman" w:hAnsi="Times New Roman" w:cs="Times New Roman"/>
              </w:rPr>
            </w:pPr>
            <w:r>
              <w:rPr>
                <w:rFonts w:hint="default" w:ascii="Times New Roman" w:hAnsi="Times New Roman" w:cs="Times New Roman"/>
                <w:lang w:val="en-US" w:eastAsia="zh-CN"/>
              </w:rPr>
              <w:t>2.28</w:t>
            </w:r>
          </w:p>
        </w:tc>
        <w:tc>
          <w:tcPr>
            <w:tcW w:w="850" w:type="dxa"/>
            <w:vAlign w:val="center"/>
          </w:tcPr>
          <w:p>
            <w:pPr>
              <w:pStyle w:val="465"/>
              <w:jc w:val="center"/>
              <w:rPr>
                <w:rFonts w:hint="default" w:ascii="Times New Roman" w:hAnsi="Times New Roman" w:cs="Times New Roman"/>
              </w:rPr>
            </w:pPr>
          </w:p>
        </w:tc>
        <w:tc>
          <w:tcPr>
            <w:tcW w:w="2069" w:type="dxa"/>
            <w:vAlign w:val="center"/>
          </w:tcPr>
          <w:p>
            <w:pPr>
              <w:pStyle w:val="465"/>
              <w:jc w:val="center"/>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42" w:type="dxa"/>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3</w:t>
            </w:r>
          </w:p>
        </w:tc>
        <w:tc>
          <w:tcPr>
            <w:tcW w:w="3194" w:type="dxa"/>
            <w:vAlign w:val="center"/>
          </w:tcPr>
          <w:p>
            <w:pPr>
              <w:pStyle w:val="459"/>
              <w:jc w:val="center"/>
              <w:rPr>
                <w:rFonts w:hint="default" w:ascii="Times New Roman" w:hAnsi="Times New Roman" w:cs="Times New Roman" w:eastAsiaTheme="minorEastAsia"/>
                <w:kern w:val="0"/>
                <w:sz w:val="21"/>
                <w:szCs w:val="21"/>
                <w:lang w:eastAsia="zh-CN"/>
              </w:rPr>
            </w:pPr>
            <w:r>
              <w:rPr>
                <w:rFonts w:hint="default" w:ascii="Times New Roman" w:hAnsi="Times New Roman" w:cs="Times New Roman"/>
                <w:lang w:val="en-US" w:eastAsia="zh-CN"/>
              </w:rPr>
              <w:t>铺</w:t>
            </w:r>
            <w:r>
              <w:rPr>
                <w:rFonts w:hint="default" w:ascii="Times New Roman" w:hAnsi="Times New Roman" w:cs="Times New Roman"/>
              </w:rPr>
              <w:t>塑料薄膜</w:t>
            </w:r>
          </w:p>
        </w:tc>
        <w:tc>
          <w:tcPr>
            <w:tcW w:w="1133" w:type="dxa"/>
            <w:vAlign w:val="center"/>
          </w:tcPr>
          <w:p>
            <w:pPr>
              <w:pStyle w:val="465"/>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3.28</w:t>
            </w:r>
          </w:p>
        </w:tc>
        <w:tc>
          <w:tcPr>
            <w:tcW w:w="993" w:type="dxa"/>
            <w:vAlign w:val="center"/>
          </w:tcPr>
          <w:p>
            <w:pPr>
              <w:pStyle w:val="465"/>
              <w:jc w:val="center"/>
              <w:rPr>
                <w:rFonts w:hint="default" w:ascii="Times New Roman" w:hAnsi="Times New Roman" w:cs="Times New Roman"/>
              </w:rPr>
            </w:pPr>
            <w:r>
              <w:rPr>
                <w:rFonts w:hint="default" w:ascii="Times New Roman" w:hAnsi="Times New Roman" w:cs="Times New Roman"/>
                <w:lang w:val="en-US" w:eastAsia="zh-CN"/>
              </w:rPr>
              <w:t>3.28</w:t>
            </w:r>
          </w:p>
        </w:tc>
        <w:tc>
          <w:tcPr>
            <w:tcW w:w="850" w:type="dxa"/>
            <w:vAlign w:val="center"/>
          </w:tcPr>
          <w:p>
            <w:pPr>
              <w:pStyle w:val="465"/>
              <w:jc w:val="center"/>
              <w:rPr>
                <w:rFonts w:hint="default" w:ascii="Times New Roman" w:hAnsi="Times New Roman" w:cs="Times New Roman"/>
              </w:rPr>
            </w:pPr>
          </w:p>
        </w:tc>
        <w:tc>
          <w:tcPr>
            <w:tcW w:w="2069" w:type="dxa"/>
            <w:vAlign w:val="center"/>
          </w:tcPr>
          <w:p>
            <w:pPr>
              <w:pStyle w:val="465"/>
              <w:jc w:val="center"/>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42" w:type="dxa"/>
            <w:vAlign w:val="center"/>
          </w:tcPr>
          <w:p>
            <w:pPr>
              <w:pStyle w:val="465"/>
              <w:jc w:val="center"/>
              <w:rPr>
                <w:rFonts w:hint="default" w:ascii="Times New Roman" w:hAnsi="Times New Roman" w:cs="Times New Roman"/>
                <w:kern w:val="0"/>
                <w:sz w:val="21"/>
                <w:szCs w:val="21"/>
              </w:rPr>
            </w:pPr>
            <w:r>
              <w:rPr>
                <w:rFonts w:hint="default" w:ascii="Times New Roman" w:hAnsi="Times New Roman" w:cs="Times New Roman"/>
              </w:rPr>
              <w:t>（</w:t>
            </w:r>
            <w:r>
              <w:rPr>
                <w:rFonts w:hint="default" w:ascii="Times New Roman" w:hAnsi="Times New Roman" w:cs="Times New Roman"/>
                <w:lang w:val="en-US" w:eastAsia="zh-CN"/>
              </w:rPr>
              <w:t>三</w:t>
            </w:r>
            <w:r>
              <w:rPr>
                <w:rFonts w:hint="default" w:ascii="Times New Roman" w:hAnsi="Times New Roman" w:cs="Times New Roman"/>
              </w:rPr>
              <w:t>）</w:t>
            </w:r>
          </w:p>
        </w:tc>
        <w:tc>
          <w:tcPr>
            <w:tcW w:w="3194" w:type="dxa"/>
            <w:vAlign w:val="center"/>
          </w:tcPr>
          <w:p>
            <w:pPr>
              <w:pStyle w:val="459"/>
              <w:jc w:val="center"/>
              <w:rPr>
                <w:rFonts w:hint="default" w:ascii="Times New Roman" w:hAnsi="Times New Roman" w:cs="Times New Roman"/>
              </w:rPr>
            </w:pPr>
            <w:r>
              <w:rPr>
                <w:rFonts w:hint="default" w:ascii="Times New Roman" w:hAnsi="Times New Roman" w:cs="Times New Roman"/>
                <w:lang w:val="en-US" w:eastAsia="zh-CN"/>
              </w:rPr>
              <w:t>景观绿化区</w:t>
            </w:r>
          </w:p>
        </w:tc>
        <w:tc>
          <w:tcPr>
            <w:tcW w:w="1133" w:type="dxa"/>
            <w:vAlign w:val="center"/>
          </w:tcPr>
          <w:p>
            <w:pPr>
              <w:pStyle w:val="465"/>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14.43</w:t>
            </w:r>
          </w:p>
        </w:tc>
        <w:tc>
          <w:tcPr>
            <w:tcW w:w="993" w:type="dxa"/>
            <w:vAlign w:val="center"/>
          </w:tcPr>
          <w:p>
            <w:pPr>
              <w:pStyle w:val="465"/>
              <w:jc w:val="center"/>
              <w:rPr>
                <w:rFonts w:hint="default" w:ascii="Times New Roman" w:hAnsi="Times New Roman" w:cs="Times New Roman"/>
              </w:rPr>
            </w:pPr>
            <w:r>
              <w:rPr>
                <w:rFonts w:hint="default" w:ascii="Times New Roman" w:hAnsi="Times New Roman" w:cs="Times New Roman"/>
                <w:lang w:val="en-US" w:eastAsia="zh-CN"/>
              </w:rPr>
              <w:t>14.43</w:t>
            </w:r>
          </w:p>
        </w:tc>
        <w:tc>
          <w:tcPr>
            <w:tcW w:w="850" w:type="dxa"/>
            <w:vAlign w:val="center"/>
          </w:tcPr>
          <w:p>
            <w:pPr>
              <w:pStyle w:val="465"/>
              <w:jc w:val="center"/>
              <w:rPr>
                <w:rFonts w:hint="default" w:ascii="Times New Roman" w:hAnsi="Times New Roman" w:cs="Times New Roman"/>
              </w:rPr>
            </w:pPr>
          </w:p>
        </w:tc>
        <w:tc>
          <w:tcPr>
            <w:tcW w:w="2069" w:type="dxa"/>
            <w:vAlign w:val="center"/>
          </w:tcPr>
          <w:p>
            <w:pPr>
              <w:pStyle w:val="465"/>
              <w:jc w:val="center"/>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42" w:type="dxa"/>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1</w:t>
            </w:r>
          </w:p>
        </w:tc>
        <w:tc>
          <w:tcPr>
            <w:tcW w:w="3194" w:type="dxa"/>
            <w:vAlign w:val="center"/>
          </w:tcPr>
          <w:p>
            <w:pPr>
              <w:pStyle w:val="459"/>
              <w:jc w:val="center"/>
              <w:rPr>
                <w:rFonts w:hint="default" w:ascii="Times New Roman" w:hAnsi="Times New Roman" w:cs="Times New Roman" w:eastAsiaTheme="minorEastAsia"/>
                <w:lang w:eastAsia="zh-CN"/>
              </w:rPr>
            </w:pPr>
            <w:r>
              <w:rPr>
                <w:rFonts w:hint="default" w:ascii="Times New Roman" w:hAnsi="Times New Roman" w:cs="Times New Roman"/>
                <w:lang w:val="en-US" w:eastAsia="zh-CN"/>
              </w:rPr>
              <w:t>沉砂池</w:t>
            </w:r>
          </w:p>
        </w:tc>
        <w:tc>
          <w:tcPr>
            <w:tcW w:w="1133" w:type="dxa"/>
            <w:vAlign w:val="center"/>
          </w:tcPr>
          <w:p>
            <w:pPr>
              <w:pStyle w:val="465"/>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1.55</w:t>
            </w:r>
          </w:p>
        </w:tc>
        <w:tc>
          <w:tcPr>
            <w:tcW w:w="993" w:type="dxa"/>
            <w:vAlign w:val="center"/>
          </w:tcPr>
          <w:p>
            <w:pPr>
              <w:pStyle w:val="465"/>
              <w:jc w:val="center"/>
              <w:rPr>
                <w:rFonts w:hint="default" w:ascii="Times New Roman" w:hAnsi="Times New Roman" w:cs="Times New Roman"/>
              </w:rPr>
            </w:pPr>
            <w:r>
              <w:rPr>
                <w:rFonts w:hint="default" w:ascii="Times New Roman" w:hAnsi="Times New Roman" w:cs="Times New Roman"/>
                <w:lang w:val="en-US" w:eastAsia="zh-CN"/>
              </w:rPr>
              <w:t>1.55</w:t>
            </w:r>
          </w:p>
        </w:tc>
        <w:tc>
          <w:tcPr>
            <w:tcW w:w="850" w:type="dxa"/>
            <w:vAlign w:val="center"/>
          </w:tcPr>
          <w:p>
            <w:pPr>
              <w:pStyle w:val="465"/>
              <w:jc w:val="center"/>
              <w:rPr>
                <w:rFonts w:hint="default" w:ascii="Times New Roman" w:hAnsi="Times New Roman" w:cs="Times New Roman"/>
              </w:rPr>
            </w:pPr>
          </w:p>
        </w:tc>
        <w:tc>
          <w:tcPr>
            <w:tcW w:w="2069" w:type="dxa"/>
            <w:vAlign w:val="center"/>
          </w:tcPr>
          <w:p>
            <w:pPr>
              <w:pStyle w:val="465"/>
              <w:jc w:val="center"/>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42" w:type="dxa"/>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2</w:t>
            </w:r>
          </w:p>
        </w:tc>
        <w:tc>
          <w:tcPr>
            <w:tcW w:w="3194" w:type="dxa"/>
            <w:vAlign w:val="center"/>
          </w:tcPr>
          <w:p>
            <w:pPr>
              <w:pStyle w:val="459"/>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排水沟</w:t>
            </w:r>
          </w:p>
        </w:tc>
        <w:tc>
          <w:tcPr>
            <w:tcW w:w="1133" w:type="dxa"/>
            <w:vAlign w:val="center"/>
          </w:tcPr>
          <w:p>
            <w:pPr>
              <w:pStyle w:val="465"/>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2.50</w:t>
            </w:r>
          </w:p>
        </w:tc>
        <w:tc>
          <w:tcPr>
            <w:tcW w:w="993" w:type="dxa"/>
            <w:vAlign w:val="center"/>
          </w:tcPr>
          <w:p>
            <w:pPr>
              <w:pStyle w:val="465"/>
              <w:jc w:val="center"/>
              <w:rPr>
                <w:rFonts w:hint="default" w:ascii="Times New Roman" w:hAnsi="Times New Roman" w:cs="Times New Roman"/>
              </w:rPr>
            </w:pPr>
            <w:r>
              <w:rPr>
                <w:rFonts w:hint="default" w:ascii="Times New Roman" w:hAnsi="Times New Roman" w:cs="Times New Roman"/>
                <w:lang w:val="en-US" w:eastAsia="zh-CN"/>
              </w:rPr>
              <w:t>2.50</w:t>
            </w:r>
          </w:p>
        </w:tc>
        <w:tc>
          <w:tcPr>
            <w:tcW w:w="850" w:type="dxa"/>
            <w:vAlign w:val="center"/>
          </w:tcPr>
          <w:p>
            <w:pPr>
              <w:pStyle w:val="465"/>
              <w:jc w:val="center"/>
              <w:rPr>
                <w:rFonts w:hint="default" w:ascii="Times New Roman" w:hAnsi="Times New Roman" w:cs="Times New Roman"/>
              </w:rPr>
            </w:pPr>
          </w:p>
        </w:tc>
        <w:tc>
          <w:tcPr>
            <w:tcW w:w="2069" w:type="dxa"/>
            <w:vAlign w:val="center"/>
          </w:tcPr>
          <w:p>
            <w:pPr>
              <w:pStyle w:val="465"/>
              <w:jc w:val="center"/>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42" w:type="dxa"/>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3</w:t>
            </w:r>
          </w:p>
        </w:tc>
        <w:tc>
          <w:tcPr>
            <w:tcW w:w="3194" w:type="dxa"/>
            <w:vAlign w:val="center"/>
          </w:tcPr>
          <w:p>
            <w:pPr>
              <w:pStyle w:val="459"/>
              <w:jc w:val="center"/>
              <w:rPr>
                <w:rFonts w:hint="default" w:ascii="Times New Roman" w:hAnsi="Times New Roman" w:cs="Times New Roman" w:eastAsiaTheme="minorEastAsia"/>
                <w:lang w:val="en-US" w:eastAsia="zh-CN"/>
              </w:rPr>
            </w:pPr>
            <w:r>
              <w:rPr>
                <w:rFonts w:hint="default" w:ascii="Times New Roman" w:hAnsi="Times New Roman" w:cs="Times New Roman"/>
              </w:rPr>
              <w:t>编织</w:t>
            </w:r>
            <w:r>
              <w:rPr>
                <w:rFonts w:hint="default" w:ascii="Times New Roman" w:hAnsi="Times New Roman" w:cs="Times New Roman"/>
                <w:lang w:val="en-US" w:eastAsia="zh-CN"/>
              </w:rPr>
              <w:t>土</w:t>
            </w:r>
            <w:r>
              <w:rPr>
                <w:rFonts w:hint="default" w:ascii="Times New Roman" w:hAnsi="Times New Roman" w:cs="Times New Roman"/>
              </w:rPr>
              <w:t>袋</w:t>
            </w:r>
            <w:r>
              <w:rPr>
                <w:rFonts w:hint="default" w:ascii="Times New Roman" w:hAnsi="Times New Roman" w:cs="Times New Roman"/>
                <w:lang w:val="en-US" w:eastAsia="zh-CN"/>
              </w:rPr>
              <w:t>挡墙</w:t>
            </w:r>
          </w:p>
        </w:tc>
        <w:tc>
          <w:tcPr>
            <w:tcW w:w="1133" w:type="dxa"/>
            <w:vAlign w:val="center"/>
          </w:tcPr>
          <w:p>
            <w:pPr>
              <w:pStyle w:val="465"/>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2.19</w:t>
            </w:r>
          </w:p>
        </w:tc>
        <w:tc>
          <w:tcPr>
            <w:tcW w:w="993" w:type="dxa"/>
            <w:vAlign w:val="center"/>
          </w:tcPr>
          <w:p>
            <w:pPr>
              <w:pStyle w:val="465"/>
              <w:jc w:val="center"/>
              <w:rPr>
                <w:rFonts w:hint="default" w:ascii="Times New Roman" w:hAnsi="Times New Roman" w:cs="Times New Roman"/>
              </w:rPr>
            </w:pPr>
            <w:r>
              <w:rPr>
                <w:rFonts w:hint="default" w:ascii="Times New Roman" w:hAnsi="Times New Roman" w:cs="Times New Roman"/>
                <w:lang w:val="en-US" w:eastAsia="zh-CN"/>
              </w:rPr>
              <w:t>2.19</w:t>
            </w:r>
          </w:p>
        </w:tc>
        <w:tc>
          <w:tcPr>
            <w:tcW w:w="850" w:type="dxa"/>
            <w:vAlign w:val="center"/>
          </w:tcPr>
          <w:p>
            <w:pPr>
              <w:pStyle w:val="465"/>
              <w:jc w:val="center"/>
              <w:rPr>
                <w:rFonts w:hint="default" w:ascii="Times New Roman" w:hAnsi="Times New Roman" w:cs="Times New Roman"/>
              </w:rPr>
            </w:pPr>
          </w:p>
        </w:tc>
        <w:tc>
          <w:tcPr>
            <w:tcW w:w="2069" w:type="dxa"/>
            <w:vAlign w:val="center"/>
          </w:tcPr>
          <w:p>
            <w:pPr>
              <w:pStyle w:val="465"/>
              <w:jc w:val="center"/>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42" w:type="dxa"/>
            <w:vAlign w:val="center"/>
          </w:tcPr>
          <w:p>
            <w:pPr>
              <w:widowControl/>
              <w:adjustRightInd/>
              <w:snapToGrid/>
              <w:spacing w:line="240" w:lineRule="auto"/>
              <w:ind w:firstLine="0" w:firstLineChars="0"/>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4</w:t>
            </w:r>
          </w:p>
        </w:tc>
        <w:tc>
          <w:tcPr>
            <w:tcW w:w="3194" w:type="dxa"/>
            <w:vAlign w:val="center"/>
          </w:tcPr>
          <w:p>
            <w:pPr>
              <w:pStyle w:val="459"/>
              <w:jc w:val="center"/>
              <w:rPr>
                <w:rFonts w:hint="default" w:ascii="Times New Roman" w:hAnsi="Times New Roman" w:cs="Times New Roman"/>
              </w:rPr>
            </w:pPr>
            <w:r>
              <w:rPr>
                <w:rFonts w:hint="default" w:ascii="Times New Roman" w:hAnsi="Times New Roman" w:cs="Times New Roman"/>
              </w:rPr>
              <w:t>塑料薄膜</w:t>
            </w:r>
          </w:p>
        </w:tc>
        <w:tc>
          <w:tcPr>
            <w:tcW w:w="1133" w:type="dxa"/>
            <w:vAlign w:val="center"/>
          </w:tcPr>
          <w:p>
            <w:pPr>
              <w:pStyle w:val="465"/>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8.19</w:t>
            </w:r>
          </w:p>
        </w:tc>
        <w:tc>
          <w:tcPr>
            <w:tcW w:w="993" w:type="dxa"/>
            <w:vAlign w:val="center"/>
          </w:tcPr>
          <w:p>
            <w:pPr>
              <w:pStyle w:val="465"/>
              <w:jc w:val="center"/>
              <w:rPr>
                <w:rFonts w:hint="default" w:ascii="Times New Roman" w:hAnsi="Times New Roman" w:cs="Times New Roman"/>
              </w:rPr>
            </w:pPr>
            <w:r>
              <w:rPr>
                <w:rFonts w:hint="default" w:ascii="Times New Roman" w:hAnsi="Times New Roman" w:cs="Times New Roman"/>
                <w:lang w:val="en-US" w:eastAsia="zh-CN"/>
              </w:rPr>
              <w:t>8.19</w:t>
            </w:r>
          </w:p>
        </w:tc>
        <w:tc>
          <w:tcPr>
            <w:tcW w:w="850" w:type="dxa"/>
            <w:vAlign w:val="center"/>
          </w:tcPr>
          <w:p>
            <w:pPr>
              <w:pStyle w:val="465"/>
              <w:jc w:val="center"/>
              <w:rPr>
                <w:rFonts w:hint="default" w:ascii="Times New Roman" w:hAnsi="Times New Roman" w:cs="Times New Roman"/>
              </w:rPr>
            </w:pPr>
          </w:p>
        </w:tc>
        <w:tc>
          <w:tcPr>
            <w:tcW w:w="2069" w:type="dxa"/>
            <w:vAlign w:val="center"/>
          </w:tcPr>
          <w:p>
            <w:pPr>
              <w:pStyle w:val="465"/>
              <w:jc w:val="center"/>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42" w:type="dxa"/>
            <w:vAlign w:val="center"/>
          </w:tcPr>
          <w:p>
            <w:pPr>
              <w:pStyle w:val="465"/>
              <w:rPr>
                <w:rFonts w:hint="default" w:ascii="Times New Roman" w:hAnsi="Times New Roman" w:cs="Times New Roman"/>
                <w:kern w:val="0"/>
                <w:sz w:val="21"/>
                <w:szCs w:val="21"/>
              </w:rPr>
            </w:pPr>
          </w:p>
        </w:tc>
        <w:tc>
          <w:tcPr>
            <w:tcW w:w="3194" w:type="dxa"/>
            <w:vAlign w:val="center"/>
          </w:tcPr>
          <w:p>
            <w:pPr>
              <w:pStyle w:val="465"/>
              <w:rPr>
                <w:rFonts w:hint="default" w:ascii="Times New Roman" w:hAnsi="Times New Roman" w:cs="Times New Roman"/>
              </w:rPr>
            </w:pPr>
            <w:r>
              <w:rPr>
                <w:rFonts w:hint="default" w:ascii="Times New Roman" w:hAnsi="Times New Roman" w:cs="Times New Roman"/>
              </w:rPr>
              <w:t>一至</w:t>
            </w:r>
            <w:r>
              <w:rPr>
                <w:rFonts w:hint="default" w:ascii="Times New Roman" w:hAnsi="Times New Roman" w:cs="Times New Roman"/>
                <w:lang w:val="en-US" w:eastAsia="zh-CN"/>
              </w:rPr>
              <w:t>三</w:t>
            </w:r>
            <w:r>
              <w:rPr>
                <w:rFonts w:hint="default" w:ascii="Times New Roman" w:hAnsi="Times New Roman" w:cs="Times New Roman"/>
              </w:rPr>
              <w:t>部分合计</w:t>
            </w:r>
          </w:p>
        </w:tc>
        <w:tc>
          <w:tcPr>
            <w:tcW w:w="1133" w:type="dxa"/>
            <w:vAlign w:val="center"/>
          </w:tcPr>
          <w:p>
            <w:pPr>
              <w:pStyle w:val="465"/>
              <w:rPr>
                <w:rFonts w:hint="default" w:ascii="Times New Roman" w:hAnsi="Times New Roman" w:eastAsia="宋体" w:cs="Times New Roman"/>
                <w:lang w:val="en-US" w:eastAsia="zh-CN"/>
              </w:rPr>
            </w:pPr>
            <w:r>
              <w:rPr>
                <w:rFonts w:hint="default" w:ascii="Times New Roman" w:hAnsi="Times New Roman" w:cs="Times New Roman"/>
                <w:lang w:val="en-US" w:eastAsia="zh-CN"/>
              </w:rPr>
              <w:t>60.25</w:t>
            </w:r>
          </w:p>
        </w:tc>
        <w:tc>
          <w:tcPr>
            <w:tcW w:w="993" w:type="dxa"/>
            <w:vAlign w:val="center"/>
          </w:tcPr>
          <w:p>
            <w:pPr>
              <w:pStyle w:val="465"/>
              <w:rPr>
                <w:rFonts w:hint="default" w:ascii="Times New Roman" w:hAnsi="Times New Roman" w:eastAsia="宋体" w:cs="Times New Roman"/>
                <w:lang w:val="en-US" w:eastAsia="zh-CN"/>
              </w:rPr>
            </w:pPr>
            <w:r>
              <w:rPr>
                <w:rFonts w:hint="default" w:ascii="Times New Roman" w:hAnsi="Times New Roman" w:cs="Times New Roman"/>
                <w:lang w:val="en-US" w:eastAsia="zh-CN"/>
              </w:rPr>
              <w:t>60.25</w:t>
            </w:r>
          </w:p>
        </w:tc>
        <w:tc>
          <w:tcPr>
            <w:tcW w:w="850" w:type="dxa"/>
            <w:vAlign w:val="center"/>
          </w:tcPr>
          <w:p>
            <w:pPr>
              <w:pStyle w:val="465"/>
              <w:rPr>
                <w:rFonts w:hint="default" w:ascii="Times New Roman" w:hAnsi="Times New Roman" w:cs="Times New Roman"/>
              </w:rPr>
            </w:pPr>
          </w:p>
        </w:tc>
        <w:tc>
          <w:tcPr>
            <w:tcW w:w="2069" w:type="dxa"/>
            <w:vAlign w:val="center"/>
          </w:tcPr>
          <w:p>
            <w:pPr>
              <w:pStyle w:val="465"/>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42" w:type="dxa"/>
            <w:vAlign w:val="center"/>
          </w:tcPr>
          <w:p>
            <w:pPr>
              <w:pStyle w:val="465"/>
              <w:rPr>
                <w:rFonts w:hint="default" w:ascii="Times New Roman" w:hAnsi="Times New Roman" w:cs="Times New Roman"/>
              </w:rPr>
            </w:pPr>
          </w:p>
        </w:tc>
        <w:tc>
          <w:tcPr>
            <w:tcW w:w="3194" w:type="dxa"/>
            <w:vAlign w:val="center"/>
          </w:tcPr>
          <w:p>
            <w:pPr>
              <w:pStyle w:val="465"/>
              <w:rPr>
                <w:rFonts w:hint="default" w:ascii="Times New Roman" w:hAnsi="Times New Roman" w:cs="Times New Roman"/>
              </w:rPr>
            </w:pPr>
            <w:r>
              <w:rPr>
                <w:rFonts w:hint="default" w:ascii="Times New Roman" w:hAnsi="Times New Roman" w:cs="Times New Roman"/>
              </w:rPr>
              <w:t>第四部分：独立费用</w:t>
            </w:r>
          </w:p>
        </w:tc>
        <w:tc>
          <w:tcPr>
            <w:tcW w:w="1133" w:type="dxa"/>
            <w:vAlign w:val="center"/>
          </w:tcPr>
          <w:p>
            <w:pPr>
              <w:pStyle w:val="465"/>
              <w:rPr>
                <w:rFonts w:hint="default" w:ascii="Times New Roman" w:hAnsi="Times New Roman" w:eastAsia="宋体" w:cs="Times New Roman"/>
                <w:lang w:val="en-US" w:eastAsia="zh-CN"/>
              </w:rPr>
            </w:pPr>
            <w:r>
              <w:rPr>
                <w:rFonts w:hint="default" w:ascii="Times New Roman" w:hAnsi="Times New Roman" w:cs="Times New Roman"/>
                <w:lang w:val="en-US" w:eastAsia="zh-CN"/>
              </w:rPr>
              <w:t>54.81</w:t>
            </w:r>
          </w:p>
        </w:tc>
        <w:tc>
          <w:tcPr>
            <w:tcW w:w="993" w:type="dxa"/>
            <w:vAlign w:val="center"/>
          </w:tcPr>
          <w:p>
            <w:pPr>
              <w:pStyle w:val="465"/>
              <w:rPr>
                <w:rFonts w:hint="default" w:ascii="Times New Roman" w:hAnsi="Times New Roman" w:eastAsia="宋体" w:cs="Times New Roman"/>
                <w:lang w:val="en-US" w:eastAsia="zh-CN"/>
              </w:rPr>
            </w:pPr>
            <w:r>
              <w:rPr>
                <w:rFonts w:hint="default" w:ascii="Times New Roman" w:hAnsi="Times New Roman" w:cs="Times New Roman"/>
                <w:lang w:val="en-US" w:eastAsia="zh-CN"/>
              </w:rPr>
              <w:t>54.81</w:t>
            </w:r>
          </w:p>
        </w:tc>
        <w:tc>
          <w:tcPr>
            <w:tcW w:w="850" w:type="dxa"/>
            <w:vAlign w:val="center"/>
          </w:tcPr>
          <w:p>
            <w:pPr>
              <w:pStyle w:val="465"/>
              <w:rPr>
                <w:rFonts w:hint="default" w:ascii="Times New Roman" w:hAnsi="Times New Roman" w:eastAsia="宋体" w:cs="Times New Roman"/>
                <w:lang w:val="en-US" w:eastAsia="zh-CN"/>
              </w:rPr>
            </w:pPr>
          </w:p>
        </w:tc>
        <w:tc>
          <w:tcPr>
            <w:tcW w:w="2069" w:type="dxa"/>
            <w:vAlign w:val="center"/>
          </w:tcPr>
          <w:p>
            <w:pPr>
              <w:pStyle w:val="465"/>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42" w:type="dxa"/>
            <w:vAlign w:val="center"/>
          </w:tcPr>
          <w:p>
            <w:pPr>
              <w:pStyle w:val="465"/>
              <w:rPr>
                <w:rFonts w:hint="default" w:ascii="Times New Roman" w:hAnsi="Times New Roman" w:cs="Times New Roman"/>
                <w:b/>
              </w:rPr>
            </w:pPr>
          </w:p>
        </w:tc>
        <w:tc>
          <w:tcPr>
            <w:tcW w:w="3194" w:type="dxa"/>
            <w:vAlign w:val="center"/>
          </w:tcPr>
          <w:p>
            <w:pPr>
              <w:pStyle w:val="465"/>
              <w:rPr>
                <w:rFonts w:hint="default" w:ascii="Times New Roman" w:hAnsi="Times New Roman" w:cs="Times New Roman"/>
                <w:b/>
              </w:rPr>
            </w:pPr>
            <w:r>
              <w:rPr>
                <w:rFonts w:hint="default" w:ascii="Times New Roman" w:hAnsi="Times New Roman" w:cs="Times New Roman"/>
              </w:rPr>
              <w:t>基本预备费</w:t>
            </w:r>
          </w:p>
        </w:tc>
        <w:tc>
          <w:tcPr>
            <w:tcW w:w="1133" w:type="dxa"/>
            <w:vAlign w:val="center"/>
          </w:tcPr>
          <w:p>
            <w:pPr>
              <w:pStyle w:val="465"/>
              <w:rPr>
                <w:rFonts w:hint="default" w:ascii="Times New Roman" w:hAnsi="Times New Roman" w:eastAsia="宋体" w:cs="Times New Roman"/>
                <w:lang w:val="en-US" w:eastAsia="zh-CN"/>
              </w:rPr>
            </w:pPr>
            <w:r>
              <w:rPr>
                <w:rFonts w:hint="default" w:ascii="Times New Roman" w:hAnsi="Times New Roman" w:cs="Times New Roman"/>
                <w:lang w:val="en-US" w:eastAsia="zh-CN"/>
              </w:rPr>
              <w:t>6.90</w:t>
            </w:r>
          </w:p>
        </w:tc>
        <w:tc>
          <w:tcPr>
            <w:tcW w:w="993" w:type="dxa"/>
            <w:vAlign w:val="center"/>
          </w:tcPr>
          <w:p>
            <w:pPr>
              <w:pStyle w:val="465"/>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850" w:type="dxa"/>
            <w:vAlign w:val="center"/>
          </w:tcPr>
          <w:p>
            <w:pPr>
              <w:pStyle w:val="465"/>
              <w:rPr>
                <w:rFonts w:hint="default" w:ascii="Times New Roman" w:hAnsi="Times New Roman" w:eastAsia="宋体" w:cs="Times New Roman"/>
                <w:lang w:val="en-US" w:eastAsia="zh-CN"/>
              </w:rPr>
            </w:pPr>
            <w:r>
              <w:rPr>
                <w:rFonts w:hint="default" w:ascii="Times New Roman" w:hAnsi="Times New Roman" w:cs="Times New Roman"/>
              </w:rPr>
              <w:t>-</w:t>
            </w:r>
            <w:r>
              <w:rPr>
                <w:rFonts w:hint="default" w:ascii="Times New Roman" w:hAnsi="Times New Roman" w:cs="Times New Roman"/>
                <w:lang w:val="en-US" w:eastAsia="zh-CN"/>
              </w:rPr>
              <w:t>6.90</w:t>
            </w:r>
          </w:p>
        </w:tc>
        <w:tc>
          <w:tcPr>
            <w:tcW w:w="2069" w:type="dxa"/>
            <w:vAlign w:val="center"/>
          </w:tcPr>
          <w:p>
            <w:pPr>
              <w:pStyle w:val="465"/>
              <w:rPr>
                <w:rFonts w:hint="default" w:ascii="Times New Roman" w:hAnsi="Times New Roman" w:eastAsia="宋体" w:cs="Times New Roman"/>
                <w:lang w:val="en-US" w:eastAsia="zh-CN"/>
              </w:rPr>
            </w:pPr>
            <w:r>
              <w:rPr>
                <w:rFonts w:hint="default" w:ascii="Times New Roman" w:hAnsi="Times New Roman" w:cs="Times New Roman"/>
                <w:lang w:val="en-US" w:eastAsia="zh-CN"/>
              </w:rPr>
              <w:t>未发生</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42" w:type="dxa"/>
            <w:vAlign w:val="center"/>
          </w:tcPr>
          <w:p>
            <w:pPr>
              <w:pStyle w:val="465"/>
              <w:rPr>
                <w:rFonts w:hint="default" w:ascii="Times New Roman" w:hAnsi="Times New Roman" w:cs="Times New Roman"/>
              </w:rPr>
            </w:pPr>
          </w:p>
        </w:tc>
        <w:tc>
          <w:tcPr>
            <w:tcW w:w="3194" w:type="dxa"/>
            <w:vAlign w:val="center"/>
          </w:tcPr>
          <w:p>
            <w:pPr>
              <w:pStyle w:val="465"/>
              <w:rPr>
                <w:rFonts w:hint="default" w:ascii="Times New Roman" w:hAnsi="Times New Roman" w:cs="Times New Roman"/>
              </w:rPr>
            </w:pPr>
            <w:r>
              <w:rPr>
                <w:rFonts w:hint="default" w:ascii="Times New Roman" w:hAnsi="Times New Roman" w:cs="Times New Roman"/>
              </w:rPr>
              <w:t>水土保持设施补偿费</w:t>
            </w:r>
          </w:p>
        </w:tc>
        <w:tc>
          <w:tcPr>
            <w:tcW w:w="1133" w:type="dxa"/>
            <w:vAlign w:val="center"/>
          </w:tcPr>
          <w:p>
            <w:pPr>
              <w:pStyle w:val="465"/>
              <w:rPr>
                <w:rFonts w:hint="default" w:ascii="Times New Roman" w:hAnsi="Times New Roman" w:eastAsia="宋体" w:cs="Times New Roman"/>
                <w:lang w:val="en-US" w:eastAsia="zh-CN"/>
              </w:rPr>
            </w:pPr>
            <w:r>
              <w:rPr>
                <w:rFonts w:hint="default" w:ascii="Times New Roman" w:hAnsi="Times New Roman" w:cs="Times New Roman"/>
                <w:lang w:val="en-US" w:eastAsia="zh-CN"/>
              </w:rPr>
              <w:t>2.68</w:t>
            </w:r>
          </w:p>
        </w:tc>
        <w:tc>
          <w:tcPr>
            <w:tcW w:w="993" w:type="dxa"/>
            <w:vAlign w:val="center"/>
          </w:tcPr>
          <w:p>
            <w:pPr>
              <w:pStyle w:val="465"/>
              <w:rPr>
                <w:rFonts w:hint="default" w:ascii="Times New Roman" w:hAnsi="Times New Roman" w:cs="Times New Roman"/>
                <w:lang w:val="en-US"/>
              </w:rPr>
            </w:pPr>
            <w:r>
              <w:rPr>
                <w:rFonts w:hint="default" w:ascii="Times New Roman" w:hAnsi="Times New Roman" w:cs="Times New Roman"/>
                <w:lang w:val="en-US" w:eastAsia="zh-CN"/>
              </w:rPr>
              <w:t>2.68</w:t>
            </w:r>
          </w:p>
        </w:tc>
        <w:tc>
          <w:tcPr>
            <w:tcW w:w="850" w:type="dxa"/>
            <w:vAlign w:val="center"/>
          </w:tcPr>
          <w:p>
            <w:pPr>
              <w:pStyle w:val="465"/>
              <w:rPr>
                <w:rFonts w:hint="default" w:ascii="Times New Roman" w:hAnsi="Times New Roman" w:cs="Times New Roman"/>
              </w:rPr>
            </w:pPr>
          </w:p>
        </w:tc>
        <w:tc>
          <w:tcPr>
            <w:tcW w:w="2069" w:type="dxa"/>
            <w:vAlign w:val="center"/>
          </w:tcPr>
          <w:p>
            <w:pPr>
              <w:pStyle w:val="465"/>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742" w:type="dxa"/>
            <w:vAlign w:val="center"/>
          </w:tcPr>
          <w:p>
            <w:pPr>
              <w:pStyle w:val="465"/>
              <w:rPr>
                <w:rFonts w:hint="default" w:ascii="Times New Roman" w:hAnsi="Times New Roman" w:cs="Times New Roman"/>
              </w:rPr>
            </w:pPr>
          </w:p>
        </w:tc>
        <w:tc>
          <w:tcPr>
            <w:tcW w:w="3194" w:type="dxa"/>
            <w:vAlign w:val="center"/>
          </w:tcPr>
          <w:p>
            <w:pPr>
              <w:pStyle w:val="465"/>
              <w:rPr>
                <w:rFonts w:hint="default" w:ascii="Times New Roman" w:hAnsi="Times New Roman" w:cs="Times New Roman"/>
              </w:rPr>
            </w:pPr>
            <w:r>
              <w:rPr>
                <w:rFonts w:hint="default" w:ascii="Times New Roman" w:hAnsi="Times New Roman" w:cs="Times New Roman"/>
              </w:rPr>
              <w:t>静态总投资</w:t>
            </w:r>
          </w:p>
        </w:tc>
        <w:tc>
          <w:tcPr>
            <w:tcW w:w="1133" w:type="dxa"/>
            <w:vAlign w:val="center"/>
          </w:tcPr>
          <w:p>
            <w:pPr>
              <w:pStyle w:val="465"/>
              <w:rPr>
                <w:rFonts w:hint="default" w:ascii="Times New Roman" w:hAnsi="Times New Roman" w:eastAsia="宋体" w:cs="Times New Roman"/>
                <w:lang w:val="en-US" w:eastAsia="zh-CN"/>
              </w:rPr>
            </w:pPr>
            <w:r>
              <w:rPr>
                <w:rFonts w:hint="default" w:ascii="Times New Roman" w:hAnsi="Times New Roman" w:cs="Times New Roman"/>
                <w:lang w:val="en-US" w:eastAsia="zh-CN"/>
              </w:rPr>
              <w:t>222.84</w:t>
            </w:r>
          </w:p>
        </w:tc>
        <w:tc>
          <w:tcPr>
            <w:tcW w:w="993" w:type="dxa"/>
            <w:vAlign w:val="center"/>
          </w:tcPr>
          <w:p>
            <w:pPr>
              <w:pStyle w:val="465"/>
              <w:rPr>
                <w:rFonts w:hint="default" w:ascii="Times New Roman" w:hAnsi="Times New Roman" w:eastAsia="宋体" w:cs="Times New Roman"/>
                <w:lang w:val="en-US" w:eastAsia="zh-CN"/>
              </w:rPr>
            </w:pPr>
            <w:r>
              <w:rPr>
                <w:rFonts w:hint="eastAsia" w:cs="Times New Roman"/>
                <w:lang w:val="en-US" w:eastAsia="zh-CN"/>
              </w:rPr>
              <w:t>207.24</w:t>
            </w:r>
          </w:p>
        </w:tc>
        <w:tc>
          <w:tcPr>
            <w:tcW w:w="850" w:type="dxa"/>
            <w:vAlign w:val="center"/>
          </w:tcPr>
          <w:p>
            <w:pPr>
              <w:pStyle w:val="465"/>
              <w:rPr>
                <w:rFonts w:hint="default" w:ascii="Times New Roman" w:hAnsi="Times New Roman" w:cs="Times New Roman"/>
                <w:lang w:val="en-US"/>
              </w:rPr>
            </w:pPr>
            <w:r>
              <w:rPr>
                <w:rFonts w:hint="default" w:ascii="Times New Roman" w:hAnsi="Times New Roman" w:cs="Times New Roman"/>
              </w:rPr>
              <w:t>-</w:t>
            </w:r>
            <w:r>
              <w:rPr>
                <w:rFonts w:hint="eastAsia" w:cs="Times New Roman"/>
                <w:lang w:val="en-US" w:eastAsia="zh-CN"/>
              </w:rPr>
              <w:t>15.60</w:t>
            </w:r>
          </w:p>
        </w:tc>
        <w:tc>
          <w:tcPr>
            <w:tcW w:w="2069" w:type="dxa"/>
            <w:vAlign w:val="center"/>
          </w:tcPr>
          <w:p>
            <w:pPr>
              <w:pStyle w:val="465"/>
              <w:rPr>
                <w:rFonts w:hint="default" w:ascii="Times New Roman" w:hAnsi="Times New Roman" w:cs="Times New Roman"/>
              </w:rPr>
            </w:pPr>
          </w:p>
        </w:tc>
      </w:tr>
    </w:tbl>
    <w:p>
      <w:pPr>
        <w:pStyle w:val="440"/>
        <w:ind w:left="0" w:leftChars="0" w:firstLine="0" w:firstLineChars="0"/>
        <w:rPr>
          <w:rFonts w:hint="default" w:ascii="Times New Roman" w:hAnsi="Times New Roman" w:cs="Times New Roman"/>
        </w:rPr>
      </w:pPr>
    </w:p>
    <w:p>
      <w:pPr>
        <w:pStyle w:val="2"/>
        <w:rPr>
          <w:rFonts w:hint="default" w:ascii="Times New Roman" w:hAnsi="Times New Roman" w:cs="Times New Roman"/>
        </w:rPr>
      </w:pPr>
      <w:bookmarkStart w:id="48" w:name="_Toc502049583"/>
      <w:r>
        <w:rPr>
          <w:rFonts w:hint="default" w:ascii="Times New Roman" w:hAnsi="Times New Roman" w:cs="Times New Roman"/>
        </w:rPr>
        <w:t>4水土保持工程质量</w:t>
      </w:r>
      <w:bookmarkEnd w:id="48"/>
    </w:p>
    <w:p>
      <w:pPr>
        <w:pStyle w:val="3"/>
        <w:rPr>
          <w:rFonts w:hint="default" w:ascii="Times New Roman" w:hAnsi="Times New Roman" w:cs="Times New Roman"/>
        </w:rPr>
      </w:pPr>
      <w:bookmarkStart w:id="49" w:name="_Toc502049584"/>
      <w:bookmarkStart w:id="50" w:name="_Toc495795592"/>
      <w:r>
        <w:rPr>
          <w:rFonts w:hint="default" w:ascii="Times New Roman" w:hAnsi="Times New Roman" w:cs="Times New Roman"/>
        </w:rPr>
        <w:t>4.1质量管理体系</w:t>
      </w:r>
      <w:bookmarkEnd w:id="49"/>
    </w:p>
    <w:bookmarkEnd w:id="50"/>
    <w:p>
      <w:pPr>
        <w:pStyle w:val="4"/>
        <w:rPr>
          <w:rFonts w:hint="default" w:ascii="Times New Roman" w:hAnsi="Times New Roman" w:cs="Times New Roman"/>
        </w:rPr>
      </w:pPr>
      <w:r>
        <w:rPr>
          <w:rFonts w:hint="default" w:ascii="Times New Roman" w:hAnsi="Times New Roman" w:cs="Times New Roman"/>
        </w:rPr>
        <w:t>4.1.1建设单位的质量管理体系</w:t>
      </w:r>
    </w:p>
    <w:p>
      <w:pPr>
        <w:pStyle w:val="440"/>
        <w:ind w:firstLine="480"/>
        <w:rPr>
          <w:rFonts w:hint="default" w:ascii="Times New Roman" w:hAnsi="Times New Roman" w:cs="Times New Roman"/>
        </w:rPr>
      </w:pPr>
      <w:r>
        <w:rPr>
          <w:rFonts w:hint="default" w:ascii="Times New Roman" w:hAnsi="Times New Roman" w:cs="Times New Roman"/>
        </w:rPr>
        <w:t>在项目实施的全过程，严格遵循工程建设程序，认真按照项目法人制、招投标制和工程监理制的要求开展工作。公司成立了工程指挥部，负责本期工程的建设管理工作。现场质量监督站由指挥部主要领导挂帅，由厂里的技术骨干担任各专业的技术专职，同时聘请了有经验的检修技术人员充实到现场质量监督站，积极开展有关质量监督检查工作。整个现场形成一个全方位、多层面的质量管理网络。</w:t>
      </w:r>
    </w:p>
    <w:p>
      <w:pPr>
        <w:pStyle w:val="440"/>
        <w:ind w:firstLine="480"/>
        <w:rPr>
          <w:rFonts w:hint="default" w:ascii="Times New Roman" w:hAnsi="Times New Roman" w:cs="Times New Roman"/>
        </w:rPr>
      </w:pPr>
      <w:r>
        <w:rPr>
          <w:rFonts w:hint="default" w:ascii="Times New Roman" w:hAnsi="Times New Roman" w:cs="Times New Roman"/>
        </w:rPr>
        <w:t>施工准备阶段，通过招投标择优选定定施工总承包单位，施工过程中，注意监督承建单位加强分包管理。项目监理工作内容除了进行常规的施工和调试阶段的监理工作外，还增加了设计监理和物资管理。为确保水土保持工程有序进行，确保工程采取的水土保持措施的正常落实。</w:t>
      </w:r>
    </w:p>
    <w:p>
      <w:pPr>
        <w:pStyle w:val="440"/>
        <w:ind w:firstLine="480"/>
        <w:rPr>
          <w:rFonts w:hint="default" w:ascii="Times New Roman" w:hAnsi="Times New Roman" w:cs="Times New Roman"/>
        </w:rPr>
      </w:pPr>
      <w:r>
        <w:rPr>
          <w:rFonts w:hint="default" w:ascii="Times New Roman" w:hAnsi="Times New Roman" w:cs="Times New Roman"/>
        </w:rPr>
        <w:t>施工过程质量管理。开工前注意收集同类型工程施工过程中暴露出来的质量问题，召集各方技术管理人员进行专题研讨，在本期工程施工过程中，有针对性地开展质量管理工作。虽然委托了施工监理，建设单位的专职技术人员天天上施工现场，督促检查施工质量情况，对施工工艺质量问题，及时向监理和施工单位反映，明确整改要求。</w:t>
      </w:r>
    </w:p>
    <w:p>
      <w:pPr>
        <w:pStyle w:val="4"/>
        <w:rPr>
          <w:rFonts w:hint="default" w:ascii="Times New Roman" w:hAnsi="Times New Roman" w:cs="Times New Roman"/>
        </w:rPr>
      </w:pPr>
      <w:r>
        <w:rPr>
          <w:rFonts w:hint="default" w:ascii="Times New Roman" w:hAnsi="Times New Roman" w:cs="Times New Roman"/>
        </w:rPr>
        <w:t>4.1.2监理单位的质量管理体系</w:t>
      </w:r>
    </w:p>
    <w:p>
      <w:pPr>
        <w:pStyle w:val="440"/>
        <w:ind w:firstLine="480"/>
        <w:rPr>
          <w:rFonts w:hint="default" w:ascii="Times New Roman" w:hAnsi="Times New Roman" w:cs="Times New Roman"/>
        </w:rPr>
      </w:pPr>
      <w:r>
        <w:rPr>
          <w:rFonts w:hint="default" w:ascii="Times New Roman" w:hAnsi="Times New Roman" w:cs="Times New Roman"/>
        </w:rPr>
        <w:t>本工程</w:t>
      </w:r>
      <w:r>
        <w:rPr>
          <w:rFonts w:hint="default" w:ascii="Times New Roman" w:hAnsi="Times New Roman" w:cs="Times New Roman"/>
          <w:lang w:val="en-US" w:eastAsia="zh-CN"/>
        </w:rPr>
        <w:t>于</w:t>
      </w:r>
      <w:r>
        <w:rPr>
          <w:rFonts w:hint="default" w:ascii="Times New Roman" w:hAnsi="Times New Roman" w:cs="Times New Roman"/>
        </w:rPr>
        <w:t>20</w:t>
      </w:r>
      <w:r>
        <w:rPr>
          <w:rFonts w:hint="default" w:ascii="Times New Roman" w:hAnsi="Times New Roman" w:cs="Times New Roman"/>
          <w:lang w:val="en-US" w:eastAsia="zh-CN"/>
        </w:rPr>
        <w:t>1</w:t>
      </w:r>
      <w:r>
        <w:rPr>
          <w:rFonts w:hint="default" w:ascii="Times New Roman" w:hAnsi="Times New Roman" w:cs="Times New Roman"/>
        </w:rPr>
        <w:t>5年</w:t>
      </w:r>
      <w:r>
        <w:rPr>
          <w:rFonts w:hint="default" w:ascii="Times New Roman" w:hAnsi="Times New Roman" w:cs="Times New Roman"/>
          <w:lang w:val="en-US" w:eastAsia="zh-CN"/>
        </w:rPr>
        <w:t>9</w:t>
      </w:r>
      <w:r>
        <w:rPr>
          <w:rFonts w:hint="default" w:ascii="Times New Roman" w:hAnsi="Times New Roman" w:cs="Times New Roman"/>
        </w:rPr>
        <w:t>月开工，水土保持工程监理现场监理从20</w:t>
      </w:r>
      <w:r>
        <w:rPr>
          <w:rFonts w:hint="default" w:ascii="Times New Roman" w:hAnsi="Times New Roman" w:cs="Times New Roman"/>
          <w:lang w:val="en-US" w:eastAsia="zh-CN"/>
        </w:rPr>
        <w:t>1</w:t>
      </w:r>
      <w:r>
        <w:rPr>
          <w:rFonts w:hint="default" w:ascii="Times New Roman" w:hAnsi="Times New Roman" w:cs="Times New Roman"/>
        </w:rPr>
        <w:t>5年</w:t>
      </w:r>
      <w:r>
        <w:rPr>
          <w:rFonts w:hint="default" w:ascii="Times New Roman" w:hAnsi="Times New Roman" w:cs="Times New Roman"/>
          <w:lang w:val="en-US" w:eastAsia="zh-CN"/>
        </w:rPr>
        <w:t>9</w:t>
      </w:r>
      <w:r>
        <w:rPr>
          <w:rFonts w:hint="default" w:ascii="Times New Roman" w:hAnsi="Times New Roman" w:cs="Times New Roman"/>
        </w:rPr>
        <w:t>月才正开始，前期监理工作主要依靠主体工程监理执行。水土保持监理部进驻后，对前期工作进行检查、验收，对未完成的工程按部就班，按《生态工程建设监理》规定进行监理工作。</w:t>
      </w:r>
    </w:p>
    <w:p>
      <w:pPr>
        <w:pStyle w:val="440"/>
        <w:ind w:firstLine="480"/>
        <w:rPr>
          <w:rFonts w:hint="default" w:ascii="Times New Roman" w:hAnsi="Times New Roman" w:cs="Times New Roman"/>
        </w:rPr>
      </w:pPr>
      <w:r>
        <w:rPr>
          <w:rFonts w:hint="default" w:ascii="Times New Roman" w:hAnsi="Times New Roman" w:cs="Times New Roman"/>
        </w:rPr>
        <w:t>（1）加强组织管理。监理部实行总监理工程师负责制，项目监理工程师向总监理工程师负责，在监理工程师全面控制，层层把关的同时，督促检查施工单位建立健全质量保证体系。</w:t>
      </w:r>
    </w:p>
    <w:p>
      <w:pPr>
        <w:pStyle w:val="440"/>
        <w:ind w:firstLine="480"/>
        <w:rPr>
          <w:rFonts w:hint="default" w:ascii="Times New Roman" w:hAnsi="Times New Roman" w:cs="Times New Roman"/>
        </w:rPr>
      </w:pPr>
      <w:r>
        <w:rPr>
          <w:rFonts w:hint="default" w:ascii="Times New Roman" w:hAnsi="Times New Roman" w:cs="Times New Roman"/>
        </w:rPr>
        <w:t>首先，监理人员认真研究方案设计中关于质量方面的要求细节，详细考虑施工方法和施工顺序，以求在施工程序上符合保证质量的施工顺序，达到以合适、合理的施工工序来满足施工质量的要求。对施工过程每一道工序，严格实行三检制。检查三检制执行情况是监理工程师的一个基本内容。没有进行三检的工序、单元工程，监理工程师不予验收签字，并不允许进入下一道工序或单元施工。对不按设计规范施工的，按违规作业处理，发送监理通知，限期整改，严重的采取停工整场处理。监理人员在质量问题上铁面无私，严把施工质量关。</w:t>
      </w:r>
    </w:p>
    <w:p>
      <w:pPr>
        <w:pStyle w:val="440"/>
        <w:ind w:firstLine="480"/>
        <w:rPr>
          <w:rFonts w:hint="default" w:ascii="Times New Roman" w:hAnsi="Times New Roman" w:cs="Times New Roman"/>
        </w:rPr>
      </w:pPr>
      <w:r>
        <w:rPr>
          <w:rFonts w:hint="default" w:ascii="Times New Roman" w:hAnsi="Times New Roman" w:cs="Times New Roman"/>
        </w:rPr>
        <w:t>（2）严把开工及原料进厂关。每个分部工程开工前，监理部对各承包人进场机械设备及人员情况进行查验，对不符合施工要求的提出整改意见，直到各施工条件达到合同要求为止。监理工程师对进场材料、苗木、种子严格控制，所有进场材料、苗木、种子必须经过检测，不达到标准的不允许进场。已进场的必须清除出场，消除了因材料、苗木、种子质量问题而影响工程质量的隐患。</w:t>
      </w:r>
    </w:p>
    <w:p>
      <w:pPr>
        <w:pStyle w:val="440"/>
        <w:ind w:firstLine="480"/>
        <w:rPr>
          <w:rFonts w:hint="default" w:ascii="Times New Roman" w:hAnsi="Times New Roman" w:cs="Times New Roman"/>
        </w:rPr>
      </w:pPr>
      <w:r>
        <w:rPr>
          <w:rFonts w:hint="default" w:ascii="Times New Roman" w:hAnsi="Times New Roman" w:cs="Times New Roman"/>
        </w:rPr>
        <w:t>（3）勤于现场监测，坚持工地巡礼和旁站结合。为了保证施工质量，提高工作效率，项目部会同建设单位，共同进行联合验收，同时对施工现场实行巡回检查，及时发现和处理施工过程中的质量问题。将质量事故消灭在萌芽状态，做到小事就地解决，一般问题当天解决，重大问题七天内解决，避免因问题拖延而影响施工质量和进度。</w:t>
      </w:r>
    </w:p>
    <w:p>
      <w:pPr>
        <w:pStyle w:val="4"/>
        <w:rPr>
          <w:rFonts w:hint="default" w:ascii="Times New Roman" w:hAnsi="Times New Roman" w:cs="Times New Roman"/>
        </w:rPr>
      </w:pPr>
      <w:r>
        <w:rPr>
          <w:rFonts w:hint="default" w:ascii="Times New Roman" w:hAnsi="Times New Roman" w:cs="Times New Roman"/>
        </w:rPr>
        <w:t>4.1.3施工质量管理</w:t>
      </w:r>
    </w:p>
    <w:p>
      <w:pPr>
        <w:pStyle w:val="440"/>
        <w:ind w:firstLine="480"/>
        <w:rPr>
          <w:rFonts w:hint="default" w:ascii="Times New Roman" w:hAnsi="Times New Roman" w:cs="Times New Roman"/>
        </w:rPr>
      </w:pPr>
      <w:r>
        <w:rPr>
          <w:rFonts w:hint="default" w:ascii="Times New Roman" w:hAnsi="Times New Roman" w:cs="Times New Roman"/>
        </w:rPr>
        <w:pict>
          <v:group id="_x0000_s2056" o:spid="_x0000_s2056" o:spt="203" style="position:absolute;left:0pt;margin-left:94.1pt;margin-top:142.9pt;height:130.05pt;width:232.45pt;mso-wrap-distance-bottom:14.2pt;mso-wrap-distance-top:14.2pt;z-index:251657216;mso-width-relative:page;mso-height-relative:page;" coordorigin="3558,1448" coordsize="4649,2601">
            <o:lock v:ext="edit"/>
            <v:group id="_x0000_s2057" o:spid="_x0000_s2057" o:spt="203" style="position:absolute;left:3558;top:1448;height:2601;width:4649;" coordorigin="3558,1448" coordsize="4649,2601">
              <o:lock v:ext="edit"/>
              <v:shape id="_x0000_s2058" o:spid="_x0000_s2058" o:spt="202" type="#_x0000_t202" style="position:absolute;left:5211;top:1448;height:454;width:1361;" coordsize="21600,21600">
                <v:path/>
                <v:fill focussize="0,0"/>
                <v:stroke joinstyle="miter"/>
                <v:imagedata o:title=""/>
                <o:lock v:ext="edit"/>
                <v:textbox>
                  <w:txbxContent>
                    <w:p>
                      <w:r>
                        <w:rPr>
                          <w:rFonts w:hint="eastAsia"/>
                        </w:rPr>
                        <w:t>项目经理</w:t>
                      </w:r>
                    </w:p>
                  </w:txbxContent>
                </v:textbox>
              </v:shape>
              <v:line id="_x0000_s2059" o:spid="_x0000_s2059" o:spt="20" style="position:absolute;left:5882;top:1894;height:454;width:0;" coordsize="21600,21600">
                <v:path arrowok="t"/>
                <v:fill focussize="0,0"/>
                <v:stroke weight="0.5pt" endarrow="block" endarrowwidth="narrow"/>
                <v:imagedata o:title=""/>
                <o:lock v:ext="edit"/>
              </v:line>
              <v:shape id="_x0000_s2060" o:spid="_x0000_s2060" o:spt="202" type="#_x0000_t202" style="position:absolute;left:7640;top:2801;height:1248;width:567;" coordsize="21600,21600">
                <v:path/>
                <v:fill focussize="0,0"/>
                <v:stroke joinstyle="miter"/>
                <v:imagedata o:title=""/>
                <o:lock v:ext="edit"/>
                <v:textbox style="layout-flow:vertical-ideographic;">
                  <w:txbxContent>
                    <w:p>
                      <w:r>
                        <w:rPr>
                          <w:rFonts w:hint="eastAsia"/>
                        </w:rPr>
                        <w:t>财务负责人</w:t>
                      </w:r>
                    </w:p>
                  </w:txbxContent>
                </v:textbox>
              </v:shape>
              <v:shape id="_x0000_s2061" o:spid="_x0000_s2061" o:spt="202" type="#_x0000_t202" style="position:absolute;left:6279;top:2801;height:1248;width:567;" coordsize="21600,21600">
                <v:path/>
                <v:fill focussize="0,0"/>
                <v:stroke joinstyle="miter"/>
                <v:imagedata o:title=""/>
                <o:lock v:ext="edit"/>
                <v:textbox style="layout-flow:vertical-ideographic;">
                  <w:txbxContent>
                    <w:p>
                      <w:r>
                        <w:rPr>
                          <w:rFonts w:hint="eastAsia"/>
                        </w:rPr>
                        <w:t>安全负责人</w:t>
                      </w:r>
                    </w:p>
                  </w:txbxContent>
                </v:textbox>
              </v:shape>
              <v:shape id="_x0000_s2062" o:spid="_x0000_s2062" o:spt="202" type="#_x0000_t202" style="position:absolute;left:4919;top:2801;height:1248;width:567;" coordsize="21600,21600">
                <v:path/>
                <v:fill focussize="0,0"/>
                <v:stroke joinstyle="miter"/>
                <v:imagedata o:title=""/>
                <o:lock v:ext="edit"/>
                <v:textbox style="layout-flow:vertical-ideographic;">
                  <w:txbxContent>
                    <w:p>
                      <w:r>
                        <w:rPr>
                          <w:rFonts w:hint="eastAsia"/>
                        </w:rPr>
                        <w:t>质检负责人</w:t>
                      </w:r>
                    </w:p>
                  </w:txbxContent>
                </v:textbox>
              </v:shape>
              <v:shape id="_x0000_s2063" o:spid="_x0000_s2063" o:spt="202" type="#_x0000_t202" style="position:absolute;left:3558;top:2801;height:1248;width:567;" coordsize="21600,21600">
                <v:path/>
                <v:fill focussize="0,0"/>
                <v:stroke joinstyle="miter"/>
                <v:imagedata o:title=""/>
                <o:lock v:ext="edit"/>
                <v:textbox style="layout-flow:vertical-ideographic;">
                  <w:txbxContent>
                    <w:p>
                      <w:r>
                        <w:rPr>
                          <w:rFonts w:hint="eastAsia"/>
                        </w:rPr>
                        <w:t>技术负责人</w:t>
                      </w:r>
                    </w:p>
                  </w:txbxContent>
                </v:textbox>
              </v:shape>
              <v:line id="_x0000_s2064" o:spid="_x0000_s2064" o:spt="20" style="position:absolute;left:3841;top:2347;height:0;width:4082;" coordsize="21600,21600">
                <v:path arrowok="t"/>
                <v:fill focussize="0,0"/>
                <v:stroke/>
                <v:imagedata o:title=""/>
                <o:lock v:ext="edit"/>
              </v:line>
              <v:line id="_x0000_s2065" o:spid="_x0000_s2065" o:spt="20" style="position:absolute;left:3841;top:2347;height:454;width:0;" coordsize="21600,21600">
                <v:path arrowok="t"/>
                <v:fill focussize="0,0"/>
                <v:stroke weight="0.5pt" endarrow="block" endarrowwidth="narrow"/>
                <v:imagedata o:title=""/>
                <o:lock v:ext="edit"/>
              </v:line>
              <v:line id="_x0000_s2066" o:spid="_x0000_s2066" o:spt="20" style="position:absolute;left:5202;top:2347;height:454;width:0;" coordsize="21600,21600">
                <v:path arrowok="t"/>
                <v:fill focussize="0,0"/>
                <v:stroke weight="0.5pt" endarrow="block" endarrowwidth="narrow"/>
                <v:imagedata o:title=""/>
                <o:lock v:ext="edit"/>
              </v:line>
              <v:line id="_x0000_s2067" o:spid="_x0000_s2067" o:spt="20" style="position:absolute;left:6563;top:2347;height:454;width:0;" coordsize="21600,21600">
                <v:path arrowok="t"/>
                <v:fill focussize="0,0"/>
                <v:stroke weight="0.5pt" endarrow="block" endarrowwidth="narrow"/>
                <v:imagedata o:title=""/>
                <o:lock v:ext="edit"/>
              </v:line>
            </v:group>
            <v:line id="_x0000_s2068" o:spid="_x0000_s2068" o:spt="20" style="position:absolute;left:7924;top:2347;height:454;width:0;" coordsize="21600,21600">
              <v:path arrowok="t"/>
              <v:fill focussize="0,0"/>
              <v:stroke weight="0.5pt" endarrow="block" endarrowwidth="narrow"/>
              <v:imagedata o:title=""/>
              <o:lock v:ext="edit"/>
            </v:line>
            <w10:wrap type="topAndBottom"/>
          </v:group>
        </w:pict>
      </w:r>
      <w:r>
        <w:rPr>
          <w:rFonts w:hint="default" w:ascii="Times New Roman" w:hAnsi="Times New Roman" w:cs="Times New Roman"/>
        </w:rPr>
        <w:t>施工承包单位质量管理体系建立健全，组织机构完整，安全网络健全，职工的质量意识较高。为确保该工程的高速度、高效率、高质量，施工单位按照ISO9001：2000质量管理体系和ISO14001环境管理体系以及OSH18000安全管理体系标准的要求，建立了以项目部领导下的各部门和专业工程处管理网络，设置现场施工组织机构。质量管理网络图见图4-1。</w:t>
      </w:r>
    </w:p>
    <w:p>
      <w:pPr>
        <w:pStyle w:val="32"/>
        <w:rPr>
          <w:rFonts w:hint="default" w:ascii="Times New Roman" w:hAnsi="Times New Roman" w:cs="Times New Roman"/>
        </w:rPr>
      </w:pPr>
      <w:r>
        <w:rPr>
          <w:rFonts w:hint="default" w:ascii="Times New Roman" w:hAnsi="Times New Roman" w:cs="Times New Roman"/>
        </w:rPr>
        <w:t>图4-1  质量管理网络图</w:t>
      </w:r>
    </w:p>
    <w:p>
      <w:pPr>
        <w:pStyle w:val="440"/>
        <w:ind w:firstLine="480"/>
        <w:rPr>
          <w:rFonts w:hint="default" w:ascii="Times New Roman" w:hAnsi="Times New Roman" w:cs="Times New Roman"/>
        </w:rPr>
      </w:pPr>
      <w:r>
        <w:rPr>
          <w:rFonts w:hint="default" w:ascii="Times New Roman" w:hAnsi="Times New Roman" w:cs="Times New Roman"/>
        </w:rPr>
        <w:t>1．在工程施工过程中本着“追求卓越，服务真诚”的企业精神和“高、严、细、实”的工作作风，结合新海电厂工程的实际情况，教育引导职工不断增强服务意识、学习意识和精品意识，为工程施工、调试工作的顺利开展创造条件。</w:t>
      </w:r>
    </w:p>
    <w:p>
      <w:pPr>
        <w:pStyle w:val="440"/>
        <w:ind w:firstLine="480"/>
        <w:rPr>
          <w:rFonts w:hint="default" w:ascii="Times New Roman" w:hAnsi="Times New Roman" w:cs="Times New Roman"/>
        </w:rPr>
      </w:pPr>
      <w:r>
        <w:rPr>
          <w:rFonts w:hint="default" w:ascii="Times New Roman" w:hAnsi="Times New Roman" w:cs="Times New Roman"/>
        </w:rPr>
        <w:t>2．严格工艺标准，保证工程内在质量。定期进行工艺纪律检查和施工工艺质量评比。对检查评比查出的问题，本着定期限、定人员、定项目的“三定”原则及时下发通知，彻底整改。项目部定期组织召开质量例会，对各专业施工处的工艺质量情况进行奖优罚劣，促使工艺质量不断上台阶、上水平。</w:t>
      </w:r>
    </w:p>
    <w:p>
      <w:pPr>
        <w:pStyle w:val="3"/>
        <w:rPr>
          <w:rFonts w:hint="default" w:ascii="Times New Roman" w:hAnsi="Times New Roman" w:cs="Times New Roman"/>
        </w:rPr>
      </w:pPr>
      <w:bookmarkStart w:id="51" w:name="_Toc502049585"/>
      <w:r>
        <w:rPr>
          <w:rFonts w:hint="default" w:ascii="Times New Roman" w:hAnsi="Times New Roman" w:cs="Times New Roman"/>
        </w:rPr>
        <w:t>4.2各防治分区水土保持工程质量评定</w:t>
      </w:r>
      <w:bookmarkEnd w:id="51"/>
    </w:p>
    <w:p>
      <w:pPr>
        <w:pStyle w:val="4"/>
        <w:rPr>
          <w:rFonts w:hint="default" w:ascii="Times New Roman" w:hAnsi="Times New Roman" w:cs="Times New Roman"/>
        </w:rPr>
      </w:pPr>
      <w:r>
        <w:rPr>
          <w:rFonts w:hint="default" w:ascii="Times New Roman" w:hAnsi="Times New Roman" w:cs="Times New Roman"/>
        </w:rPr>
        <w:t>4.2.1项目划分及结果</w:t>
      </w:r>
    </w:p>
    <w:p>
      <w:pPr>
        <w:pStyle w:val="440"/>
        <w:ind w:firstLine="480"/>
        <w:rPr>
          <w:rFonts w:hint="default" w:ascii="Times New Roman" w:hAnsi="Times New Roman" w:cs="Times New Roman"/>
        </w:rPr>
      </w:pPr>
      <w:r>
        <w:rPr>
          <w:rFonts w:hint="default" w:ascii="Times New Roman" w:hAnsi="Times New Roman" w:cs="Times New Roman"/>
        </w:rPr>
        <w:t>根据本项目特点和防治措施布局原则，提出具体的对策和措施，本次验收范围内水土保持防治措施体系由</w:t>
      </w:r>
      <w:r>
        <w:rPr>
          <w:rFonts w:hint="default" w:ascii="Times New Roman" w:hAnsi="Times New Roman" w:cs="Times New Roman"/>
          <w:lang w:val="en-US" w:eastAsia="zh-CN"/>
        </w:rPr>
        <w:t>主体建筑区</w:t>
      </w:r>
      <w:r>
        <w:rPr>
          <w:rFonts w:hint="default" w:ascii="Times New Roman" w:hAnsi="Times New Roman" w:cs="Times New Roman"/>
          <w:lang w:val="zh-CN" w:eastAsia="zh-CN"/>
        </w:rPr>
        <w:t>、</w:t>
      </w:r>
      <w:r>
        <w:rPr>
          <w:rFonts w:hint="default" w:ascii="Times New Roman" w:hAnsi="Times New Roman" w:cs="Times New Roman"/>
          <w:lang w:val="en-US" w:eastAsia="zh-CN"/>
        </w:rPr>
        <w:t>道路广场区及景观绿化区</w:t>
      </w:r>
      <w:r>
        <w:rPr>
          <w:rFonts w:hint="default" w:ascii="Times New Roman" w:hAnsi="Times New Roman" w:cs="Times New Roman"/>
        </w:rPr>
        <w:t>共</w:t>
      </w:r>
      <w:r>
        <w:rPr>
          <w:rFonts w:hint="default" w:ascii="Times New Roman" w:hAnsi="Times New Roman" w:cs="Times New Roman"/>
          <w:lang w:val="en-US" w:eastAsia="zh-CN"/>
        </w:rPr>
        <w:t>三</w:t>
      </w:r>
      <w:r>
        <w:rPr>
          <w:rFonts w:hint="default" w:ascii="Times New Roman" w:hAnsi="Times New Roman" w:cs="Times New Roman"/>
        </w:rPr>
        <w:t>个防治大区构成。</w:t>
      </w:r>
    </w:p>
    <w:p>
      <w:pPr>
        <w:pStyle w:val="440"/>
        <w:ind w:firstLine="480"/>
        <w:rPr>
          <w:rFonts w:hint="default" w:ascii="Times New Roman" w:hAnsi="Times New Roman" w:cs="Times New Roman"/>
        </w:rPr>
      </w:pPr>
      <w:r>
        <w:rPr>
          <w:rFonts w:hint="default" w:ascii="Times New Roman" w:hAnsi="Times New Roman" w:cs="Times New Roman"/>
        </w:rPr>
        <w:t>本项目水土流失治理措施体系由工程措施和植物措施等构成。项目水土保持方案将对主体工程设计中未考虑的措施进行补充和完善。通过点、线、面防治措施有机结合、相互作用，形成立体的综合防治体系，达到保护地表，改善生态环境，防止水土流失的目的，实现水土流失从被动控制到综合开发治理的转变。水土流失防治分区及防治措施体系详见表4-1。</w:t>
      </w:r>
    </w:p>
    <w:tbl>
      <w:tblPr>
        <w:tblStyle w:val="46"/>
        <w:tblpPr w:leftFromText="180" w:rightFromText="180" w:vertAnchor="text" w:horzAnchor="page" w:tblpXSpec="center" w:tblpY="481"/>
        <w:tblOverlap w:val="never"/>
        <w:tblW w:w="8420"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116"/>
        <w:gridCol w:w="3870"/>
        <w:gridCol w:w="243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9" w:hRule="atLeast"/>
          <w:tblHeader/>
          <w:jc w:val="center"/>
        </w:trPr>
        <w:tc>
          <w:tcPr>
            <w:tcW w:w="2116" w:type="dxa"/>
            <w:vAlign w:val="center"/>
          </w:tcPr>
          <w:p>
            <w:pPr>
              <w:pStyle w:val="158"/>
              <w:rPr>
                <w:rFonts w:hint="default" w:ascii="Times New Roman" w:hAnsi="Times New Roman" w:cs="Times New Roman"/>
                <w:lang w:val="zh-CN" w:eastAsia="zh-CN"/>
              </w:rPr>
            </w:pPr>
            <w:r>
              <w:rPr>
                <w:rFonts w:hint="default" w:ascii="Times New Roman" w:hAnsi="Times New Roman" w:cs="Times New Roman"/>
                <w:lang w:val="zh-CN" w:eastAsia="zh-CN"/>
              </w:rPr>
              <w:t>防治分区</w:t>
            </w:r>
          </w:p>
        </w:tc>
        <w:tc>
          <w:tcPr>
            <w:tcW w:w="3870" w:type="dxa"/>
            <w:vAlign w:val="center"/>
          </w:tcPr>
          <w:p>
            <w:pPr>
              <w:pStyle w:val="158"/>
              <w:rPr>
                <w:rFonts w:hint="default" w:ascii="Times New Roman" w:hAnsi="Times New Roman" w:cs="Times New Roman"/>
                <w:lang w:val="zh-CN" w:eastAsia="zh-CN"/>
              </w:rPr>
            </w:pPr>
            <w:r>
              <w:rPr>
                <w:rFonts w:hint="default" w:ascii="Times New Roman" w:hAnsi="Times New Roman" w:cs="Times New Roman"/>
                <w:lang w:val="zh-CN" w:eastAsia="zh-CN"/>
              </w:rPr>
              <w:t>水土保持措施</w:t>
            </w:r>
          </w:p>
        </w:tc>
        <w:tc>
          <w:tcPr>
            <w:tcW w:w="2434" w:type="dxa"/>
            <w:vAlign w:val="center"/>
          </w:tcPr>
          <w:p>
            <w:pPr>
              <w:pStyle w:val="158"/>
              <w:rPr>
                <w:rFonts w:hint="default" w:ascii="Times New Roman" w:hAnsi="Times New Roman" w:cs="Times New Roman"/>
                <w:lang w:val="zh-CN" w:eastAsia="zh-CN"/>
              </w:rPr>
            </w:pPr>
            <w:r>
              <w:rPr>
                <w:rFonts w:hint="default" w:ascii="Times New Roman" w:hAnsi="Times New Roman" w:cs="Times New Roman"/>
                <w:lang w:val="zh-CN" w:eastAsia="zh-CN"/>
              </w:rPr>
              <w:t>措施分类</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6" w:hRule="atLeast"/>
          <w:jc w:val="center"/>
        </w:trPr>
        <w:tc>
          <w:tcPr>
            <w:tcW w:w="2116" w:type="dxa"/>
            <w:vAlign w:val="center"/>
          </w:tcPr>
          <w:p>
            <w:pPr>
              <w:pStyle w:val="158"/>
              <w:rPr>
                <w:rFonts w:hint="default" w:ascii="Times New Roman" w:hAnsi="Times New Roman" w:eastAsia="宋体" w:cs="Times New Roman"/>
                <w:lang w:val="zh-CN" w:eastAsia="zh-CN"/>
              </w:rPr>
            </w:pPr>
            <w:r>
              <w:rPr>
                <w:rFonts w:hint="default" w:ascii="Times New Roman" w:hAnsi="Times New Roman" w:cs="Times New Roman"/>
                <w:lang w:val="en-US" w:eastAsia="zh-CN"/>
              </w:rPr>
              <w:t>主体建筑区</w:t>
            </w:r>
          </w:p>
        </w:tc>
        <w:tc>
          <w:tcPr>
            <w:tcW w:w="3870" w:type="dxa"/>
            <w:vAlign w:val="center"/>
          </w:tcPr>
          <w:p>
            <w:pPr>
              <w:pStyle w:val="158"/>
              <w:rPr>
                <w:rFonts w:hint="default" w:ascii="Times New Roman" w:hAnsi="Times New Roman" w:cs="Times New Roman"/>
                <w:lang w:val="zh-CN"/>
              </w:rPr>
            </w:pPr>
            <w:r>
              <w:rPr>
                <w:rFonts w:hint="default" w:ascii="Times New Roman" w:hAnsi="Times New Roman" w:cs="Times New Roman"/>
                <w:kern w:val="0"/>
                <w:sz w:val="21"/>
                <w:szCs w:val="21"/>
              </w:rPr>
              <w:t>雨水管网</w:t>
            </w:r>
          </w:p>
        </w:tc>
        <w:tc>
          <w:tcPr>
            <w:tcW w:w="2434" w:type="dxa"/>
            <w:vAlign w:val="center"/>
          </w:tcPr>
          <w:p>
            <w:pPr>
              <w:pStyle w:val="158"/>
              <w:rPr>
                <w:rFonts w:hint="default" w:ascii="Times New Roman" w:hAnsi="Times New Roman" w:cs="Times New Roman"/>
                <w:lang w:val="zh-CN" w:eastAsia="zh-CN"/>
              </w:rPr>
            </w:pPr>
            <w:r>
              <w:rPr>
                <w:rFonts w:hint="default" w:ascii="Times New Roman" w:hAnsi="Times New Roman" w:cs="Times New Roman"/>
                <w:lang w:val="zh-CN"/>
              </w:rPr>
              <w:t>工程</w:t>
            </w:r>
            <w:r>
              <w:rPr>
                <w:rFonts w:hint="default" w:ascii="Times New Roman" w:hAnsi="Times New Roman" w:cs="Times New Roman"/>
                <w:lang w:val="zh-CN" w:eastAsia="zh-CN"/>
              </w:rPr>
              <w:t>措施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jc w:val="center"/>
        </w:trPr>
        <w:tc>
          <w:tcPr>
            <w:tcW w:w="2116" w:type="dxa"/>
            <w:vAlign w:val="center"/>
          </w:tcPr>
          <w:p>
            <w:pPr>
              <w:pStyle w:val="158"/>
              <w:rPr>
                <w:rFonts w:hint="default" w:ascii="Times New Roman" w:hAnsi="Times New Roman" w:cs="Times New Roman"/>
                <w:lang w:val="en-US" w:eastAsia="zh-CN"/>
              </w:rPr>
            </w:pPr>
            <w:r>
              <w:rPr>
                <w:rFonts w:hint="default" w:ascii="Times New Roman" w:hAnsi="Times New Roman" w:cs="Times New Roman"/>
                <w:lang w:val="en-US" w:eastAsia="zh-CN"/>
              </w:rPr>
              <w:t>道路广场区</w:t>
            </w:r>
          </w:p>
        </w:tc>
        <w:tc>
          <w:tcPr>
            <w:tcW w:w="3870" w:type="dxa"/>
            <w:vAlign w:val="center"/>
          </w:tcPr>
          <w:p>
            <w:pPr>
              <w:pStyle w:val="158"/>
              <w:rPr>
                <w:rFonts w:hint="default" w:ascii="Times New Roman" w:hAnsi="Times New Roman" w:cs="Times New Roman"/>
                <w:lang w:val="zh-CN" w:eastAsia="zh-CN"/>
              </w:rPr>
            </w:pPr>
            <w:r>
              <w:rPr>
                <w:rFonts w:hint="default" w:ascii="Times New Roman" w:hAnsi="Times New Roman" w:cs="Times New Roman"/>
                <w:kern w:val="0"/>
                <w:sz w:val="21"/>
                <w:szCs w:val="21"/>
              </w:rPr>
              <w:t>雨水管网</w:t>
            </w:r>
          </w:p>
        </w:tc>
        <w:tc>
          <w:tcPr>
            <w:tcW w:w="2434" w:type="dxa"/>
            <w:vAlign w:val="center"/>
          </w:tcPr>
          <w:p>
            <w:pPr>
              <w:pStyle w:val="158"/>
              <w:rPr>
                <w:rFonts w:hint="default" w:ascii="Times New Roman" w:hAnsi="Times New Roman" w:cs="Times New Roman"/>
                <w:lang w:val="zh-CN" w:eastAsia="zh-CN"/>
              </w:rPr>
            </w:pPr>
            <w:r>
              <w:rPr>
                <w:rFonts w:hint="default" w:ascii="Times New Roman" w:hAnsi="Times New Roman" w:cs="Times New Roman"/>
                <w:lang w:val="zh-CN"/>
              </w:rPr>
              <w:t>工程</w:t>
            </w:r>
            <w:r>
              <w:rPr>
                <w:rFonts w:hint="default" w:ascii="Times New Roman" w:hAnsi="Times New Roman" w:cs="Times New Roman"/>
                <w:lang w:val="zh-CN" w:eastAsia="zh-CN"/>
              </w:rPr>
              <w:t>措施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jc w:val="center"/>
        </w:trPr>
        <w:tc>
          <w:tcPr>
            <w:tcW w:w="2116" w:type="dxa"/>
            <w:vMerge w:val="restart"/>
            <w:vAlign w:val="center"/>
          </w:tcPr>
          <w:p>
            <w:pPr>
              <w:pStyle w:val="158"/>
              <w:rPr>
                <w:rFonts w:hint="default" w:ascii="Times New Roman" w:hAnsi="Times New Roman" w:cs="Times New Roman"/>
                <w:lang w:val="en-US" w:eastAsia="zh-CN"/>
              </w:rPr>
            </w:pPr>
            <w:r>
              <w:rPr>
                <w:rFonts w:hint="default" w:ascii="Times New Roman" w:hAnsi="Times New Roman" w:cs="Times New Roman"/>
                <w:lang w:val="en-US" w:eastAsia="zh-CN"/>
              </w:rPr>
              <w:t>景观绿化区</w:t>
            </w:r>
          </w:p>
        </w:tc>
        <w:tc>
          <w:tcPr>
            <w:tcW w:w="3870" w:type="dxa"/>
            <w:vAlign w:val="center"/>
          </w:tcPr>
          <w:p>
            <w:pPr>
              <w:widowControl/>
              <w:adjustRightInd/>
              <w:snapToGrid/>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lang w:val="en-US" w:eastAsia="zh-CN"/>
              </w:rPr>
              <w:t>乔灌草景观绿化</w:t>
            </w:r>
          </w:p>
        </w:tc>
        <w:tc>
          <w:tcPr>
            <w:tcW w:w="2434" w:type="dxa"/>
            <w:vAlign w:val="center"/>
          </w:tcPr>
          <w:p>
            <w:pPr>
              <w:pStyle w:val="158"/>
              <w:rPr>
                <w:rFonts w:hint="default" w:ascii="Times New Roman" w:hAnsi="Times New Roman" w:cs="Times New Roman"/>
                <w:lang w:val="en-US" w:eastAsia="zh-CN"/>
              </w:rPr>
            </w:pPr>
            <w:r>
              <w:rPr>
                <w:rFonts w:hint="default" w:ascii="Times New Roman" w:hAnsi="Times New Roman" w:cs="Times New Roman"/>
                <w:lang w:val="en-US" w:eastAsia="zh-CN"/>
              </w:rPr>
              <w:t>植物措施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jc w:val="center"/>
        </w:trPr>
        <w:tc>
          <w:tcPr>
            <w:tcW w:w="2116" w:type="dxa"/>
            <w:vMerge w:val="continue"/>
            <w:vAlign w:val="center"/>
          </w:tcPr>
          <w:p>
            <w:pPr>
              <w:pStyle w:val="158"/>
              <w:rPr>
                <w:rFonts w:hint="default" w:ascii="Times New Roman" w:hAnsi="Times New Roman" w:cs="Times New Roman"/>
                <w:lang w:val="en-US" w:eastAsia="zh-CN"/>
              </w:rPr>
            </w:pPr>
          </w:p>
        </w:tc>
        <w:tc>
          <w:tcPr>
            <w:tcW w:w="3870" w:type="dxa"/>
            <w:vAlign w:val="center"/>
          </w:tcPr>
          <w:p>
            <w:pPr>
              <w:widowControl/>
              <w:adjustRightInd/>
              <w:snapToGrid/>
              <w:spacing w:line="240" w:lineRule="auto"/>
              <w:ind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表土回覆</w:t>
            </w:r>
          </w:p>
        </w:tc>
        <w:tc>
          <w:tcPr>
            <w:tcW w:w="2434" w:type="dxa"/>
            <w:vAlign w:val="center"/>
          </w:tcPr>
          <w:p>
            <w:pPr>
              <w:pStyle w:val="158"/>
              <w:rPr>
                <w:rFonts w:hint="default" w:ascii="Times New Roman" w:hAnsi="Times New Roman" w:cs="Times New Roman"/>
                <w:lang w:val="en-US" w:eastAsia="zh-CN"/>
              </w:rPr>
            </w:pPr>
            <w:r>
              <w:rPr>
                <w:rFonts w:hint="default" w:ascii="Times New Roman" w:hAnsi="Times New Roman" w:cs="Times New Roman"/>
                <w:lang w:val="en-US" w:eastAsia="zh-CN"/>
              </w:rPr>
              <w:t>工程措施</w:t>
            </w:r>
          </w:p>
        </w:tc>
      </w:tr>
    </w:tbl>
    <w:p>
      <w:pPr>
        <w:pStyle w:val="32"/>
        <w:ind w:firstLine="480"/>
        <w:rPr>
          <w:rFonts w:hint="default" w:ascii="Times New Roman" w:hAnsi="Times New Roman" w:cs="Times New Roman"/>
        </w:rPr>
      </w:pPr>
      <w:r>
        <w:rPr>
          <w:rFonts w:hint="default" w:ascii="Times New Roman" w:hAnsi="Times New Roman" w:cs="Times New Roman"/>
        </w:rPr>
        <w:t>4-1 工程验收范围水土流失防治分区及防治措施体系表</w:t>
      </w:r>
    </w:p>
    <w:p>
      <w:pPr>
        <w:pStyle w:val="440"/>
        <w:ind w:left="0" w:leftChars="0" w:firstLine="480" w:firstLineChars="200"/>
        <w:rPr>
          <w:rFonts w:hint="default" w:ascii="Times New Roman" w:hAnsi="Times New Roman" w:cs="Times New Roman"/>
        </w:rPr>
      </w:pPr>
      <w:r>
        <w:rPr>
          <w:rFonts w:hint="default" w:ascii="Times New Roman" w:hAnsi="Times New Roman" w:cs="Times New Roman"/>
        </w:rPr>
        <w:t>按照水土流失防治分区及水土保持措施体系，将项目划分为</w:t>
      </w:r>
      <w:r>
        <w:rPr>
          <w:rFonts w:hint="default" w:ascii="Times New Roman" w:hAnsi="Times New Roman" w:cs="Times New Roman"/>
          <w:lang w:val="en-US" w:eastAsia="zh-CN"/>
        </w:rPr>
        <w:t>3</w:t>
      </w:r>
      <w:r>
        <w:rPr>
          <w:rFonts w:hint="default" w:ascii="Times New Roman" w:hAnsi="Times New Roman" w:cs="Times New Roman"/>
        </w:rPr>
        <w:t>个单位工程，分别为水系工程、土地整治工程、植被建设工程，再细分为</w:t>
      </w:r>
      <w:r>
        <w:rPr>
          <w:rFonts w:hint="default" w:ascii="Times New Roman" w:hAnsi="Times New Roman" w:cs="Times New Roman"/>
          <w:lang w:val="en-US" w:eastAsia="zh-CN"/>
        </w:rPr>
        <w:t>4</w:t>
      </w:r>
      <w:r>
        <w:rPr>
          <w:rFonts w:hint="default" w:ascii="Times New Roman" w:hAnsi="Times New Roman" w:cs="Times New Roman"/>
        </w:rPr>
        <w:t>个分布工程，</w:t>
      </w:r>
      <w:r>
        <w:rPr>
          <w:rFonts w:hint="default" w:ascii="Times New Roman" w:hAnsi="Times New Roman" w:cs="Times New Roman"/>
          <w:lang w:val="en-US" w:eastAsia="zh-CN"/>
        </w:rPr>
        <w:t>40</w:t>
      </w:r>
      <w:r>
        <w:rPr>
          <w:rFonts w:hint="default" w:ascii="Times New Roman" w:hAnsi="Times New Roman" w:cs="Times New Roman"/>
        </w:rPr>
        <w:t>个单元工程，具体划分结果见下表4-2</w:t>
      </w:r>
    </w:p>
    <w:p>
      <w:pPr>
        <w:pStyle w:val="32"/>
        <w:rPr>
          <w:rFonts w:hint="default" w:ascii="Times New Roman" w:hAnsi="Times New Roman" w:cs="Times New Roman"/>
        </w:rPr>
      </w:pPr>
      <w:r>
        <w:rPr>
          <w:rFonts w:hint="default" w:ascii="Times New Roman" w:hAnsi="Times New Roman" w:cs="Times New Roman"/>
        </w:rPr>
        <w:t>表4-2 水土保持工程项目划分结果统计表</w:t>
      </w:r>
    </w:p>
    <w:tbl>
      <w:tblPr>
        <w:tblStyle w:val="46"/>
        <w:tblW w:w="8981"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973"/>
        <w:gridCol w:w="3668"/>
        <w:gridCol w:w="234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57" w:hRule="atLeast"/>
        </w:trPr>
        <w:tc>
          <w:tcPr>
            <w:tcW w:w="2973" w:type="dxa"/>
            <w:vMerge w:val="restart"/>
            <w:vAlign w:val="center"/>
          </w:tcPr>
          <w:p>
            <w:pPr>
              <w:pStyle w:val="465"/>
              <w:rPr>
                <w:rFonts w:hint="default" w:ascii="Times New Roman" w:hAnsi="Times New Roman" w:cs="Times New Roman"/>
              </w:rPr>
            </w:pPr>
            <w:r>
              <w:rPr>
                <w:rFonts w:hint="default" w:ascii="Times New Roman" w:hAnsi="Times New Roman" w:cs="Times New Roman"/>
              </w:rPr>
              <w:t>单位工程</w:t>
            </w:r>
          </w:p>
        </w:tc>
        <w:tc>
          <w:tcPr>
            <w:tcW w:w="3668" w:type="dxa"/>
            <w:vMerge w:val="restart"/>
            <w:vAlign w:val="center"/>
          </w:tcPr>
          <w:p>
            <w:pPr>
              <w:pStyle w:val="465"/>
              <w:rPr>
                <w:rFonts w:hint="default" w:ascii="Times New Roman" w:hAnsi="Times New Roman" w:cs="Times New Roman"/>
              </w:rPr>
            </w:pPr>
            <w:r>
              <w:rPr>
                <w:rFonts w:hint="default" w:ascii="Times New Roman" w:hAnsi="Times New Roman" w:cs="Times New Roman"/>
              </w:rPr>
              <w:t>分部工程</w:t>
            </w:r>
          </w:p>
        </w:tc>
        <w:tc>
          <w:tcPr>
            <w:tcW w:w="2340" w:type="dxa"/>
            <w:vAlign w:val="center"/>
          </w:tcPr>
          <w:p>
            <w:pPr>
              <w:pStyle w:val="465"/>
              <w:rPr>
                <w:rFonts w:hint="default" w:ascii="Times New Roman" w:hAnsi="Times New Roman" w:cs="Times New Roman"/>
              </w:rPr>
            </w:pPr>
            <w:r>
              <w:rPr>
                <w:rFonts w:hint="default" w:ascii="Times New Roman" w:hAnsi="Times New Roman" w:cs="Times New Roman"/>
              </w:rPr>
              <w:t>质量情况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57" w:hRule="atLeast"/>
        </w:trPr>
        <w:tc>
          <w:tcPr>
            <w:tcW w:w="2973" w:type="dxa"/>
            <w:vMerge w:val="continue"/>
            <w:vAlign w:val="center"/>
          </w:tcPr>
          <w:p>
            <w:pPr>
              <w:pStyle w:val="465"/>
              <w:rPr>
                <w:rFonts w:hint="default" w:ascii="Times New Roman" w:hAnsi="Times New Roman" w:cs="Times New Roman"/>
              </w:rPr>
            </w:pPr>
          </w:p>
        </w:tc>
        <w:tc>
          <w:tcPr>
            <w:tcW w:w="3668" w:type="dxa"/>
            <w:vMerge w:val="continue"/>
            <w:vAlign w:val="center"/>
          </w:tcPr>
          <w:p>
            <w:pPr>
              <w:pStyle w:val="465"/>
              <w:rPr>
                <w:rFonts w:hint="default" w:ascii="Times New Roman" w:hAnsi="Times New Roman" w:cs="Times New Roman"/>
              </w:rPr>
            </w:pPr>
          </w:p>
        </w:tc>
        <w:tc>
          <w:tcPr>
            <w:tcW w:w="2340" w:type="dxa"/>
            <w:vAlign w:val="center"/>
          </w:tcPr>
          <w:p>
            <w:pPr>
              <w:pStyle w:val="465"/>
              <w:rPr>
                <w:rFonts w:hint="default" w:ascii="Times New Roman" w:hAnsi="Times New Roman" w:cs="Times New Roman"/>
              </w:rPr>
            </w:pPr>
            <w:r>
              <w:rPr>
                <w:rFonts w:hint="default" w:ascii="Times New Roman" w:hAnsi="Times New Roman" w:cs="Times New Roman"/>
              </w:rPr>
              <w:t>单元工程数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83" w:hRule="atLeast"/>
        </w:trPr>
        <w:tc>
          <w:tcPr>
            <w:tcW w:w="2973" w:type="dxa"/>
            <w:noWrap/>
            <w:vAlign w:val="center"/>
          </w:tcPr>
          <w:p>
            <w:pPr>
              <w:pStyle w:val="465"/>
              <w:rPr>
                <w:rFonts w:hint="default" w:ascii="Times New Roman" w:hAnsi="Times New Roman" w:cs="Times New Roman"/>
              </w:rPr>
            </w:pPr>
            <w:r>
              <w:rPr>
                <w:rFonts w:hint="default" w:ascii="Times New Roman" w:hAnsi="Times New Roman" w:cs="Times New Roman"/>
              </w:rPr>
              <w:t>水系工程</w:t>
            </w:r>
          </w:p>
        </w:tc>
        <w:tc>
          <w:tcPr>
            <w:tcW w:w="3668" w:type="dxa"/>
            <w:vAlign w:val="center"/>
          </w:tcPr>
          <w:p>
            <w:pPr>
              <w:pStyle w:val="465"/>
              <w:rPr>
                <w:rFonts w:hint="default" w:ascii="Times New Roman" w:hAnsi="Times New Roman" w:cs="Times New Roman"/>
              </w:rPr>
            </w:pPr>
            <w:r>
              <w:rPr>
                <w:rFonts w:hint="default" w:ascii="Times New Roman" w:hAnsi="Times New Roman" w:cs="Times New Roman"/>
                <w:kern w:val="0"/>
                <w:sz w:val="21"/>
                <w:szCs w:val="21"/>
              </w:rPr>
              <w:t>雨水管网</w:t>
            </w:r>
          </w:p>
        </w:tc>
        <w:tc>
          <w:tcPr>
            <w:tcW w:w="2340" w:type="dxa"/>
            <w:vAlign w:val="center"/>
          </w:tcPr>
          <w:p>
            <w:pPr>
              <w:pStyle w:val="465"/>
              <w:rPr>
                <w:rFonts w:hint="default" w:ascii="Times New Roman" w:hAnsi="Times New Roman" w:eastAsia="宋体" w:cs="Times New Roman"/>
                <w:lang w:val="en-US" w:eastAsia="zh-CN"/>
              </w:rPr>
            </w:pPr>
            <w:r>
              <w:rPr>
                <w:rFonts w:hint="default" w:ascii="Times New Roman" w:hAnsi="Times New Roman" w:cs="Times New Roman"/>
                <w:lang w:val="en-US" w:eastAsia="zh-CN"/>
              </w:rPr>
              <w:t>14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57" w:hRule="atLeast"/>
        </w:trPr>
        <w:tc>
          <w:tcPr>
            <w:tcW w:w="2973" w:type="dxa"/>
            <w:noWrap/>
            <w:vAlign w:val="center"/>
          </w:tcPr>
          <w:p>
            <w:pPr>
              <w:pStyle w:val="465"/>
              <w:rPr>
                <w:rFonts w:hint="default" w:ascii="Times New Roman" w:hAnsi="Times New Roman" w:cs="Times New Roman"/>
              </w:rPr>
            </w:pPr>
            <w:r>
              <w:rPr>
                <w:rFonts w:hint="default" w:ascii="Times New Roman" w:hAnsi="Times New Roman" w:cs="Times New Roman"/>
              </w:rPr>
              <w:t>土地整治工程</w:t>
            </w:r>
          </w:p>
        </w:tc>
        <w:tc>
          <w:tcPr>
            <w:tcW w:w="3668" w:type="dxa"/>
            <w:vAlign w:val="center"/>
          </w:tcPr>
          <w:p>
            <w:pPr>
              <w:pStyle w:val="465"/>
              <w:rPr>
                <w:rFonts w:hint="default" w:ascii="Times New Roman" w:hAnsi="Times New Roman" w:cs="Times New Roman"/>
              </w:rPr>
            </w:pPr>
            <w:r>
              <w:rPr>
                <w:rFonts w:hint="default" w:ascii="Times New Roman" w:hAnsi="Times New Roman" w:cs="Times New Roman"/>
              </w:rPr>
              <w:t>表土回覆</w:t>
            </w:r>
          </w:p>
        </w:tc>
        <w:tc>
          <w:tcPr>
            <w:tcW w:w="2340" w:type="dxa"/>
            <w:vAlign w:val="center"/>
          </w:tcPr>
          <w:p>
            <w:pPr>
              <w:pStyle w:val="465"/>
              <w:rPr>
                <w:rFonts w:hint="default" w:ascii="Times New Roman" w:hAnsi="Times New Roman" w:cs="Times New Roman"/>
              </w:rPr>
            </w:pPr>
            <w:r>
              <w:rPr>
                <w:rFonts w:hint="default" w:ascii="Times New Roman" w:hAnsi="Times New Roman" w:cs="Times New Roman"/>
              </w:rPr>
              <w:t>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57" w:hRule="atLeast"/>
        </w:trPr>
        <w:tc>
          <w:tcPr>
            <w:tcW w:w="2973" w:type="dxa"/>
            <w:vMerge w:val="restart"/>
            <w:noWrap/>
            <w:vAlign w:val="center"/>
          </w:tcPr>
          <w:p>
            <w:pPr>
              <w:pStyle w:val="465"/>
              <w:rPr>
                <w:rFonts w:hint="default" w:ascii="Times New Roman" w:hAnsi="Times New Roman" w:cs="Times New Roman"/>
              </w:rPr>
            </w:pPr>
            <w:r>
              <w:rPr>
                <w:rFonts w:hint="default" w:ascii="Times New Roman" w:hAnsi="Times New Roman" w:cs="Times New Roman"/>
              </w:rPr>
              <w:t>植被建设工程</w:t>
            </w:r>
          </w:p>
        </w:tc>
        <w:tc>
          <w:tcPr>
            <w:tcW w:w="3668" w:type="dxa"/>
            <w:vAlign w:val="center"/>
          </w:tcPr>
          <w:p>
            <w:pPr>
              <w:pStyle w:val="465"/>
              <w:rPr>
                <w:rFonts w:hint="default" w:ascii="Times New Roman" w:hAnsi="Times New Roman" w:cs="Times New Roman"/>
              </w:rPr>
            </w:pPr>
            <w:r>
              <w:rPr>
                <w:rFonts w:hint="default" w:ascii="Times New Roman" w:hAnsi="Times New Roman" w:cs="Times New Roman"/>
              </w:rPr>
              <w:t>线状植被</w:t>
            </w:r>
          </w:p>
        </w:tc>
        <w:tc>
          <w:tcPr>
            <w:tcW w:w="2340" w:type="dxa"/>
            <w:vAlign w:val="center"/>
          </w:tcPr>
          <w:p>
            <w:pPr>
              <w:pStyle w:val="465"/>
              <w:rPr>
                <w:rFonts w:hint="default" w:ascii="Times New Roman" w:hAnsi="Times New Roman" w:eastAsia="宋体" w:cs="Times New Roman"/>
                <w:lang w:eastAsia="zh-CN"/>
              </w:rPr>
            </w:pPr>
            <w:r>
              <w:rPr>
                <w:rFonts w:hint="default" w:ascii="Times New Roman" w:hAnsi="Times New Roman" w:cs="Times New Roman"/>
                <w:lang w:val="en-US" w:eastAsia="zh-CN"/>
              </w:rPr>
              <w:t>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57" w:hRule="atLeast"/>
        </w:trPr>
        <w:tc>
          <w:tcPr>
            <w:tcW w:w="2973" w:type="dxa"/>
            <w:vMerge w:val="continue"/>
            <w:noWrap/>
            <w:vAlign w:val="center"/>
          </w:tcPr>
          <w:p>
            <w:pPr>
              <w:pStyle w:val="465"/>
              <w:rPr>
                <w:rFonts w:hint="default" w:ascii="Times New Roman" w:hAnsi="Times New Roman" w:cs="Times New Roman"/>
              </w:rPr>
            </w:pPr>
          </w:p>
        </w:tc>
        <w:tc>
          <w:tcPr>
            <w:tcW w:w="3668" w:type="dxa"/>
            <w:vAlign w:val="center"/>
          </w:tcPr>
          <w:p>
            <w:pPr>
              <w:pStyle w:val="465"/>
              <w:rPr>
                <w:rFonts w:hint="default" w:ascii="Times New Roman" w:hAnsi="Times New Roman" w:cs="Times New Roman"/>
              </w:rPr>
            </w:pPr>
            <w:r>
              <w:rPr>
                <w:rFonts w:hint="default" w:ascii="Times New Roman" w:hAnsi="Times New Roman" w:cs="Times New Roman"/>
              </w:rPr>
              <w:t>片状植被</w:t>
            </w:r>
          </w:p>
        </w:tc>
        <w:tc>
          <w:tcPr>
            <w:tcW w:w="2340" w:type="dxa"/>
            <w:vAlign w:val="center"/>
          </w:tcPr>
          <w:p>
            <w:pPr>
              <w:pStyle w:val="465"/>
              <w:rPr>
                <w:rFonts w:hint="default" w:ascii="Times New Roman" w:hAnsi="Times New Roman" w:cs="Times New Roman"/>
              </w:rPr>
            </w:pPr>
            <w:r>
              <w:rPr>
                <w:rFonts w:hint="default" w:ascii="Times New Roman" w:hAnsi="Times New Roman" w:cs="Times New Roman"/>
              </w:rPr>
              <w:t>10</w:t>
            </w:r>
          </w:p>
        </w:tc>
      </w:tr>
    </w:tbl>
    <w:p>
      <w:pPr>
        <w:pStyle w:val="440"/>
        <w:spacing w:line="240" w:lineRule="auto"/>
        <w:ind w:firstLine="420"/>
        <w:rPr>
          <w:rFonts w:hint="default" w:ascii="Times New Roman" w:hAnsi="Times New Roman" w:cs="Times New Roman"/>
          <w:sz w:val="21"/>
          <w:szCs w:val="21"/>
        </w:rPr>
      </w:pPr>
      <w:r>
        <w:rPr>
          <w:rFonts w:hint="default" w:ascii="Times New Roman" w:hAnsi="Times New Roman" w:cs="Times New Roman"/>
          <w:sz w:val="21"/>
          <w:szCs w:val="21"/>
        </w:rPr>
        <w:t>注：1、表中单位工程，分布工程，单元工程按《水土保持工程质量评定规程》SL336-2006划分；</w:t>
      </w:r>
    </w:p>
    <w:p>
      <w:pPr>
        <w:pStyle w:val="4"/>
        <w:rPr>
          <w:rFonts w:hint="default" w:ascii="Times New Roman" w:hAnsi="Times New Roman" w:cs="Times New Roman"/>
        </w:rPr>
      </w:pPr>
      <w:r>
        <w:rPr>
          <w:rFonts w:hint="default" w:ascii="Times New Roman" w:hAnsi="Times New Roman" w:cs="Times New Roman"/>
        </w:rPr>
        <w:t>4.2.2各防治分区工程质量评定</w:t>
      </w:r>
    </w:p>
    <w:p>
      <w:pPr>
        <w:pStyle w:val="6"/>
        <w:rPr>
          <w:rFonts w:hint="default" w:ascii="Times New Roman" w:hAnsi="Times New Roman" w:cs="Times New Roman"/>
        </w:rPr>
      </w:pPr>
      <w:r>
        <w:rPr>
          <w:rFonts w:hint="default" w:ascii="Times New Roman" w:hAnsi="Times New Roman" w:cs="Times New Roman"/>
        </w:rPr>
        <w:t>4.2.2.1工程质量评定依据、标准</w:t>
      </w:r>
    </w:p>
    <w:p>
      <w:pPr>
        <w:pStyle w:val="440"/>
        <w:ind w:firstLine="480"/>
        <w:rPr>
          <w:rFonts w:hint="default" w:ascii="Times New Roman" w:hAnsi="Times New Roman" w:eastAsia="宋体" w:cs="Times New Roman"/>
        </w:rPr>
      </w:pPr>
      <w:r>
        <w:rPr>
          <w:rFonts w:hint="default" w:ascii="Times New Roman" w:hAnsi="Times New Roman" w:eastAsia="宋体" w:cs="Times New Roman"/>
        </w:rPr>
        <w:t>作为工程质量评定依据和标准的主要规范、规程有：</w:t>
      </w:r>
    </w:p>
    <w:p>
      <w:pPr>
        <w:pStyle w:val="440"/>
        <w:ind w:firstLine="480"/>
        <w:rPr>
          <w:rFonts w:hint="default" w:ascii="Times New Roman" w:hAnsi="Times New Roman" w:eastAsia="宋体" w:cs="Times New Roman"/>
        </w:rPr>
      </w:pPr>
      <w:r>
        <w:rPr>
          <w:rFonts w:hint="default" w:ascii="Times New Roman" w:hAnsi="Times New Roman" w:cs="Times New Roman"/>
        </w:rPr>
        <w:t>（1）</w:t>
      </w:r>
      <w:r>
        <w:rPr>
          <w:rFonts w:hint="default" w:ascii="Times New Roman" w:hAnsi="Times New Roman" w:eastAsia="宋体" w:cs="Times New Roman"/>
        </w:rPr>
        <w:t>《水土保持综合治理验收规范》GB/T15773-</w:t>
      </w:r>
      <w:r>
        <w:rPr>
          <w:rFonts w:hint="default" w:ascii="Times New Roman" w:hAnsi="Times New Roman" w:cs="Times New Roman"/>
        </w:rPr>
        <w:t>2008；</w:t>
      </w:r>
    </w:p>
    <w:p>
      <w:pPr>
        <w:pStyle w:val="440"/>
        <w:ind w:firstLine="480"/>
        <w:rPr>
          <w:rFonts w:hint="default" w:ascii="Times New Roman" w:hAnsi="Times New Roman" w:eastAsia="宋体" w:cs="Times New Roman"/>
        </w:rPr>
      </w:pPr>
      <w:r>
        <w:rPr>
          <w:rFonts w:hint="default" w:ascii="Times New Roman" w:hAnsi="Times New Roman" w:cs="Times New Roman"/>
        </w:rPr>
        <w:t>（2）</w:t>
      </w:r>
      <w:r>
        <w:rPr>
          <w:rFonts w:hint="default" w:ascii="Times New Roman" w:hAnsi="Times New Roman" w:eastAsia="宋体" w:cs="Times New Roman"/>
        </w:rPr>
        <w:t>《水利水电建设工程质量评定规程》SL</w:t>
      </w:r>
      <w:r>
        <w:rPr>
          <w:rFonts w:hint="default" w:ascii="Times New Roman" w:hAnsi="Times New Roman" w:cs="Times New Roman"/>
        </w:rPr>
        <w:t>33</w:t>
      </w:r>
      <w:r>
        <w:rPr>
          <w:rFonts w:hint="default" w:ascii="Times New Roman" w:hAnsi="Times New Roman" w:eastAsia="宋体" w:cs="Times New Roman"/>
        </w:rPr>
        <w:t>6-</w:t>
      </w:r>
      <w:r>
        <w:rPr>
          <w:rFonts w:hint="default" w:ascii="Times New Roman" w:hAnsi="Times New Roman" w:cs="Times New Roman"/>
        </w:rPr>
        <w:t>200</w:t>
      </w:r>
      <w:r>
        <w:rPr>
          <w:rFonts w:hint="default" w:ascii="Times New Roman" w:hAnsi="Times New Roman" w:eastAsia="宋体" w:cs="Times New Roman"/>
        </w:rPr>
        <w:t>6</w:t>
      </w:r>
      <w:r>
        <w:rPr>
          <w:rFonts w:hint="default" w:ascii="Times New Roman" w:hAnsi="Times New Roman" w:cs="Times New Roman"/>
        </w:rPr>
        <w:t>；</w:t>
      </w:r>
    </w:p>
    <w:p>
      <w:pPr>
        <w:pStyle w:val="440"/>
        <w:ind w:firstLine="480"/>
        <w:rPr>
          <w:rFonts w:hint="default" w:ascii="Times New Roman" w:hAnsi="Times New Roman" w:eastAsia="宋体" w:cs="Times New Roman"/>
        </w:rPr>
      </w:pPr>
      <w:r>
        <w:rPr>
          <w:rFonts w:hint="default" w:ascii="Times New Roman" w:hAnsi="Times New Roman" w:cs="Times New Roman"/>
        </w:rPr>
        <w:t>（3）</w:t>
      </w:r>
      <w:r>
        <w:rPr>
          <w:rFonts w:hint="default" w:ascii="Times New Roman" w:hAnsi="Times New Roman" w:eastAsia="宋体" w:cs="Times New Roman"/>
        </w:rPr>
        <w:t>《水利水电建设工程验收规程》</w:t>
      </w:r>
      <w:r>
        <w:rPr>
          <w:rFonts w:hint="default" w:ascii="Times New Roman" w:hAnsi="Times New Roman" w:cs="Times New Roman"/>
        </w:rPr>
        <w:t>；</w:t>
      </w:r>
    </w:p>
    <w:p>
      <w:pPr>
        <w:pStyle w:val="440"/>
        <w:ind w:firstLine="480"/>
        <w:rPr>
          <w:rFonts w:hint="default" w:ascii="Times New Roman" w:hAnsi="Times New Roman" w:cs="Times New Roman"/>
        </w:rPr>
      </w:pPr>
      <w:r>
        <w:rPr>
          <w:rFonts w:hint="default" w:ascii="Times New Roman" w:hAnsi="Times New Roman" w:cs="Times New Roman"/>
        </w:rPr>
        <w:t>（4）</w:t>
      </w:r>
      <w:r>
        <w:rPr>
          <w:rFonts w:hint="default" w:ascii="Times New Roman" w:hAnsi="Times New Roman" w:eastAsia="宋体" w:cs="Times New Roman"/>
        </w:rPr>
        <w:t>《水利水电基本建设工程单元工程质量等级评定标准》</w:t>
      </w:r>
      <w:r>
        <w:rPr>
          <w:rFonts w:hint="default" w:ascii="Times New Roman" w:hAnsi="Times New Roman" w:cs="Times New Roman"/>
        </w:rPr>
        <w:t>DLT5113.1-2005。</w:t>
      </w:r>
    </w:p>
    <w:p>
      <w:pPr>
        <w:pStyle w:val="6"/>
        <w:rPr>
          <w:rFonts w:hint="default" w:ascii="Times New Roman" w:hAnsi="Times New Roman" w:cs="Times New Roman"/>
        </w:rPr>
      </w:pPr>
      <w:r>
        <w:rPr>
          <w:rFonts w:hint="default" w:ascii="Times New Roman" w:hAnsi="Times New Roman" w:cs="Times New Roman"/>
        </w:rPr>
        <w:t>4.2.2.2工程质量评定结果</w:t>
      </w:r>
    </w:p>
    <w:p>
      <w:pPr>
        <w:pStyle w:val="440"/>
        <w:ind w:firstLine="480"/>
        <w:rPr>
          <w:rFonts w:hint="default" w:ascii="Times New Roman" w:hAnsi="Times New Roman" w:cs="Times New Roman"/>
        </w:rPr>
      </w:pPr>
      <w:r>
        <w:rPr>
          <w:rFonts w:hint="default" w:ascii="Times New Roman" w:hAnsi="Times New Roman" w:cs="Times New Roman"/>
        </w:rPr>
        <w:t>整个项目建设过程中水土保持工程质量得到了有力的保证，按照《水土保持工程质量评定规程》SL336-2006的要求，将本工程水土保持划分为3个单位工程</w:t>
      </w:r>
      <w:r>
        <w:rPr>
          <w:rFonts w:hint="default" w:ascii="Times New Roman" w:hAnsi="Times New Roman" w:cs="Times New Roman"/>
          <w:lang w:val="en-US" w:eastAsia="zh-CN"/>
        </w:rPr>
        <w:t>4</w:t>
      </w:r>
      <w:r>
        <w:rPr>
          <w:rFonts w:hint="default" w:ascii="Times New Roman" w:hAnsi="Times New Roman" w:cs="Times New Roman"/>
        </w:rPr>
        <w:t>个分部工程和4</w:t>
      </w:r>
      <w:r>
        <w:rPr>
          <w:rFonts w:hint="default" w:ascii="Times New Roman" w:hAnsi="Times New Roman" w:cs="Times New Roman"/>
          <w:lang w:val="en-US" w:eastAsia="zh-CN"/>
        </w:rPr>
        <w:t>0</w:t>
      </w:r>
      <w:r>
        <w:rPr>
          <w:rFonts w:hint="default" w:ascii="Times New Roman" w:hAnsi="Times New Roman" w:cs="Times New Roman"/>
        </w:rPr>
        <w:t>个单元工程，质量评定结果见下表。</w:t>
      </w:r>
    </w:p>
    <w:p>
      <w:pPr>
        <w:pStyle w:val="32"/>
        <w:rPr>
          <w:rFonts w:hint="default" w:ascii="Times New Roman" w:hAnsi="Times New Roman" w:cs="Times New Roman"/>
        </w:rPr>
      </w:pPr>
      <w:r>
        <w:rPr>
          <w:rFonts w:hint="default" w:ascii="Times New Roman" w:hAnsi="Times New Roman" w:cs="Times New Roman"/>
        </w:rPr>
        <w:t>表4-3 水土保持工程质量控制结果统计表</w:t>
      </w:r>
    </w:p>
    <w:tbl>
      <w:tblPr>
        <w:tblStyle w:val="46"/>
        <w:tblW w:w="8981"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679"/>
        <w:gridCol w:w="2071"/>
        <w:gridCol w:w="1322"/>
        <w:gridCol w:w="848"/>
        <w:gridCol w:w="1042"/>
        <w:gridCol w:w="948"/>
        <w:gridCol w:w="107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57" w:hRule="atLeast"/>
        </w:trPr>
        <w:tc>
          <w:tcPr>
            <w:tcW w:w="1679" w:type="dxa"/>
            <w:vMerge w:val="restart"/>
            <w:vAlign w:val="center"/>
          </w:tcPr>
          <w:p>
            <w:pPr>
              <w:pStyle w:val="465"/>
              <w:rPr>
                <w:rFonts w:hint="default" w:ascii="Times New Roman" w:hAnsi="Times New Roman" w:cs="Times New Roman"/>
              </w:rPr>
            </w:pPr>
            <w:r>
              <w:rPr>
                <w:rFonts w:hint="default" w:ascii="Times New Roman" w:hAnsi="Times New Roman" w:cs="Times New Roman"/>
              </w:rPr>
              <w:t>单位工程</w:t>
            </w:r>
          </w:p>
        </w:tc>
        <w:tc>
          <w:tcPr>
            <w:tcW w:w="2071" w:type="dxa"/>
            <w:vMerge w:val="restart"/>
            <w:vAlign w:val="center"/>
          </w:tcPr>
          <w:p>
            <w:pPr>
              <w:pStyle w:val="465"/>
              <w:rPr>
                <w:rFonts w:hint="default" w:ascii="Times New Roman" w:hAnsi="Times New Roman" w:cs="Times New Roman"/>
              </w:rPr>
            </w:pPr>
            <w:r>
              <w:rPr>
                <w:rFonts w:hint="default" w:ascii="Times New Roman" w:hAnsi="Times New Roman" w:cs="Times New Roman"/>
              </w:rPr>
              <w:t>分部工程</w:t>
            </w:r>
          </w:p>
        </w:tc>
        <w:tc>
          <w:tcPr>
            <w:tcW w:w="5231" w:type="dxa"/>
            <w:gridSpan w:val="5"/>
            <w:vAlign w:val="center"/>
          </w:tcPr>
          <w:p>
            <w:pPr>
              <w:pStyle w:val="465"/>
              <w:rPr>
                <w:rFonts w:hint="default" w:ascii="Times New Roman" w:hAnsi="Times New Roman" w:cs="Times New Roman"/>
              </w:rPr>
            </w:pPr>
            <w:r>
              <w:rPr>
                <w:rFonts w:hint="default" w:ascii="Times New Roman" w:hAnsi="Times New Roman" w:cs="Times New Roman"/>
              </w:rPr>
              <w:t>质量情况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57" w:hRule="atLeast"/>
        </w:trPr>
        <w:tc>
          <w:tcPr>
            <w:tcW w:w="1679" w:type="dxa"/>
            <w:vMerge w:val="continue"/>
            <w:vAlign w:val="center"/>
          </w:tcPr>
          <w:p>
            <w:pPr>
              <w:pStyle w:val="465"/>
              <w:rPr>
                <w:rFonts w:hint="default" w:ascii="Times New Roman" w:hAnsi="Times New Roman" w:cs="Times New Roman"/>
              </w:rPr>
            </w:pPr>
          </w:p>
        </w:tc>
        <w:tc>
          <w:tcPr>
            <w:tcW w:w="2071" w:type="dxa"/>
            <w:vMerge w:val="continue"/>
            <w:vAlign w:val="center"/>
          </w:tcPr>
          <w:p>
            <w:pPr>
              <w:pStyle w:val="465"/>
              <w:rPr>
                <w:rFonts w:hint="default" w:ascii="Times New Roman" w:hAnsi="Times New Roman" w:cs="Times New Roman"/>
              </w:rPr>
            </w:pPr>
          </w:p>
        </w:tc>
        <w:tc>
          <w:tcPr>
            <w:tcW w:w="1322" w:type="dxa"/>
            <w:vAlign w:val="center"/>
          </w:tcPr>
          <w:p>
            <w:pPr>
              <w:pStyle w:val="465"/>
              <w:rPr>
                <w:rFonts w:hint="default" w:ascii="Times New Roman" w:hAnsi="Times New Roman" w:cs="Times New Roman"/>
              </w:rPr>
            </w:pPr>
            <w:r>
              <w:rPr>
                <w:rFonts w:hint="default" w:ascii="Times New Roman" w:hAnsi="Times New Roman" w:cs="Times New Roman"/>
              </w:rPr>
              <w:t>单元工程数</w:t>
            </w:r>
          </w:p>
        </w:tc>
        <w:tc>
          <w:tcPr>
            <w:tcW w:w="848" w:type="dxa"/>
            <w:vAlign w:val="center"/>
          </w:tcPr>
          <w:p>
            <w:pPr>
              <w:pStyle w:val="465"/>
              <w:rPr>
                <w:rFonts w:hint="default" w:ascii="Times New Roman" w:hAnsi="Times New Roman" w:cs="Times New Roman"/>
              </w:rPr>
            </w:pPr>
            <w:r>
              <w:rPr>
                <w:rFonts w:hint="default" w:ascii="Times New Roman" w:hAnsi="Times New Roman" w:cs="Times New Roman"/>
              </w:rPr>
              <w:t>合格数</w:t>
            </w:r>
          </w:p>
        </w:tc>
        <w:tc>
          <w:tcPr>
            <w:tcW w:w="1042" w:type="dxa"/>
            <w:vAlign w:val="center"/>
          </w:tcPr>
          <w:p>
            <w:pPr>
              <w:pStyle w:val="465"/>
              <w:rPr>
                <w:rFonts w:hint="default" w:ascii="Times New Roman" w:hAnsi="Times New Roman" w:cs="Times New Roman"/>
              </w:rPr>
            </w:pPr>
            <w:r>
              <w:rPr>
                <w:rFonts w:hint="default" w:ascii="Times New Roman" w:hAnsi="Times New Roman" w:cs="Times New Roman"/>
              </w:rPr>
              <w:t>优良数</w:t>
            </w:r>
          </w:p>
        </w:tc>
        <w:tc>
          <w:tcPr>
            <w:tcW w:w="948" w:type="dxa"/>
            <w:vAlign w:val="center"/>
          </w:tcPr>
          <w:p>
            <w:pPr>
              <w:pStyle w:val="465"/>
              <w:rPr>
                <w:rFonts w:hint="default" w:ascii="Times New Roman" w:hAnsi="Times New Roman" w:cs="Times New Roman"/>
              </w:rPr>
            </w:pPr>
            <w:r>
              <w:rPr>
                <w:rFonts w:hint="default" w:ascii="Times New Roman" w:hAnsi="Times New Roman" w:cs="Times New Roman"/>
              </w:rPr>
              <w:t>优良率</w:t>
            </w:r>
          </w:p>
        </w:tc>
        <w:tc>
          <w:tcPr>
            <w:tcW w:w="1071" w:type="dxa"/>
            <w:vAlign w:val="center"/>
          </w:tcPr>
          <w:p>
            <w:pPr>
              <w:pStyle w:val="465"/>
              <w:rPr>
                <w:rFonts w:hint="default" w:ascii="Times New Roman" w:hAnsi="Times New Roman" w:cs="Times New Roman"/>
              </w:rPr>
            </w:pPr>
            <w:r>
              <w:rPr>
                <w:rFonts w:hint="default" w:ascii="Times New Roman" w:hAnsi="Times New Roman" w:cs="Times New Roman"/>
              </w:rPr>
              <w:t>质量等级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83" w:hRule="atLeast"/>
        </w:trPr>
        <w:tc>
          <w:tcPr>
            <w:tcW w:w="1679" w:type="dxa"/>
            <w:noWrap/>
            <w:vAlign w:val="center"/>
          </w:tcPr>
          <w:p>
            <w:pPr>
              <w:pStyle w:val="465"/>
              <w:rPr>
                <w:rFonts w:hint="default" w:ascii="Times New Roman" w:hAnsi="Times New Roman" w:cs="Times New Roman"/>
              </w:rPr>
            </w:pPr>
            <w:r>
              <w:rPr>
                <w:rFonts w:hint="default" w:ascii="Times New Roman" w:hAnsi="Times New Roman" w:cs="Times New Roman"/>
              </w:rPr>
              <w:t>水系工程</w:t>
            </w:r>
          </w:p>
        </w:tc>
        <w:tc>
          <w:tcPr>
            <w:tcW w:w="2071" w:type="dxa"/>
            <w:vAlign w:val="center"/>
          </w:tcPr>
          <w:p>
            <w:pPr>
              <w:pStyle w:val="465"/>
              <w:rPr>
                <w:rFonts w:hint="default" w:ascii="Times New Roman" w:hAnsi="Times New Roman" w:cs="Times New Roman"/>
              </w:rPr>
            </w:pPr>
            <w:r>
              <w:rPr>
                <w:rFonts w:hint="default" w:ascii="Times New Roman" w:hAnsi="Times New Roman" w:cs="Times New Roman"/>
                <w:kern w:val="0"/>
                <w:sz w:val="21"/>
                <w:szCs w:val="21"/>
              </w:rPr>
              <w:t>雨水管网</w:t>
            </w:r>
          </w:p>
        </w:tc>
        <w:tc>
          <w:tcPr>
            <w:tcW w:w="1322" w:type="dxa"/>
            <w:vAlign w:val="center"/>
          </w:tcPr>
          <w:p>
            <w:pPr>
              <w:pStyle w:val="465"/>
              <w:rPr>
                <w:rFonts w:hint="default" w:ascii="Times New Roman" w:hAnsi="Times New Roman" w:cs="Times New Roman"/>
                <w:lang w:val="en-US"/>
              </w:rPr>
            </w:pPr>
            <w:r>
              <w:rPr>
                <w:rFonts w:hint="default" w:ascii="Times New Roman" w:hAnsi="Times New Roman" w:cs="Times New Roman"/>
                <w:lang w:val="en-US" w:eastAsia="zh-CN"/>
              </w:rPr>
              <w:t>14</w:t>
            </w:r>
          </w:p>
        </w:tc>
        <w:tc>
          <w:tcPr>
            <w:tcW w:w="848" w:type="dxa"/>
            <w:vAlign w:val="center"/>
          </w:tcPr>
          <w:p>
            <w:pPr>
              <w:pStyle w:val="465"/>
              <w:rPr>
                <w:rFonts w:hint="default" w:ascii="Times New Roman" w:hAnsi="Times New Roman" w:cs="Times New Roman"/>
                <w:lang w:val="en-US"/>
              </w:rPr>
            </w:pPr>
            <w:r>
              <w:rPr>
                <w:rFonts w:hint="default" w:ascii="Times New Roman" w:hAnsi="Times New Roman" w:cs="Times New Roman"/>
                <w:lang w:val="en-US" w:eastAsia="zh-CN"/>
              </w:rPr>
              <w:t>14</w:t>
            </w:r>
          </w:p>
        </w:tc>
        <w:tc>
          <w:tcPr>
            <w:tcW w:w="1042" w:type="dxa"/>
            <w:vAlign w:val="center"/>
          </w:tcPr>
          <w:p>
            <w:pPr>
              <w:pStyle w:val="465"/>
              <w:rPr>
                <w:rFonts w:hint="default" w:ascii="Times New Roman" w:hAnsi="Times New Roman" w:eastAsia="宋体" w:cs="Times New Roman"/>
                <w:lang w:eastAsia="zh-CN"/>
              </w:rPr>
            </w:pPr>
            <w:r>
              <w:rPr>
                <w:rFonts w:hint="default" w:ascii="Times New Roman" w:hAnsi="Times New Roman" w:cs="Times New Roman"/>
                <w:lang w:val="en-US" w:eastAsia="zh-CN"/>
              </w:rPr>
              <w:t>6</w:t>
            </w:r>
          </w:p>
        </w:tc>
        <w:tc>
          <w:tcPr>
            <w:tcW w:w="948" w:type="dxa"/>
            <w:vAlign w:val="center"/>
          </w:tcPr>
          <w:p>
            <w:pPr>
              <w:pStyle w:val="465"/>
              <w:rPr>
                <w:rFonts w:hint="default" w:ascii="Times New Roman" w:hAnsi="Times New Roman" w:cs="Times New Roman"/>
              </w:rPr>
            </w:pPr>
            <w:r>
              <w:rPr>
                <w:rFonts w:hint="default" w:ascii="Times New Roman" w:hAnsi="Times New Roman" w:cs="Times New Roman"/>
                <w:lang w:val="en-US" w:eastAsia="zh-CN"/>
              </w:rPr>
              <w:t>43</w:t>
            </w:r>
            <w:r>
              <w:rPr>
                <w:rFonts w:hint="default" w:ascii="Times New Roman" w:hAnsi="Times New Roman" w:cs="Times New Roman"/>
              </w:rPr>
              <w:t>%</w:t>
            </w:r>
          </w:p>
        </w:tc>
        <w:tc>
          <w:tcPr>
            <w:tcW w:w="1071" w:type="dxa"/>
          </w:tcPr>
          <w:p>
            <w:pPr>
              <w:jc w:val="center"/>
              <w:rPr>
                <w:rFonts w:hint="default" w:ascii="Times New Roman" w:hAnsi="Times New Roman" w:cs="Times New Roman"/>
              </w:rPr>
            </w:pPr>
            <w:r>
              <w:rPr>
                <w:rFonts w:hint="default" w:ascii="Times New Roman" w:hAnsi="Times New Roman" w:cs="Times New Roman"/>
              </w:rPr>
              <w:t>合格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57" w:hRule="atLeast"/>
        </w:trPr>
        <w:tc>
          <w:tcPr>
            <w:tcW w:w="1679" w:type="dxa"/>
            <w:noWrap/>
            <w:vAlign w:val="center"/>
          </w:tcPr>
          <w:p>
            <w:pPr>
              <w:pStyle w:val="465"/>
              <w:rPr>
                <w:rFonts w:hint="default" w:ascii="Times New Roman" w:hAnsi="Times New Roman" w:cs="Times New Roman"/>
              </w:rPr>
            </w:pPr>
            <w:r>
              <w:rPr>
                <w:rFonts w:hint="default" w:ascii="Times New Roman" w:hAnsi="Times New Roman" w:cs="Times New Roman"/>
              </w:rPr>
              <w:t>土地整治工程</w:t>
            </w:r>
          </w:p>
        </w:tc>
        <w:tc>
          <w:tcPr>
            <w:tcW w:w="2071" w:type="dxa"/>
            <w:vAlign w:val="center"/>
          </w:tcPr>
          <w:p>
            <w:pPr>
              <w:pStyle w:val="465"/>
              <w:rPr>
                <w:rFonts w:hint="default" w:ascii="Times New Roman" w:hAnsi="Times New Roman" w:cs="Times New Roman"/>
              </w:rPr>
            </w:pPr>
            <w:r>
              <w:rPr>
                <w:rFonts w:hint="default" w:ascii="Times New Roman" w:hAnsi="Times New Roman" w:cs="Times New Roman"/>
              </w:rPr>
              <w:t>表土回覆</w:t>
            </w:r>
          </w:p>
        </w:tc>
        <w:tc>
          <w:tcPr>
            <w:tcW w:w="1322" w:type="dxa"/>
            <w:vAlign w:val="center"/>
          </w:tcPr>
          <w:p>
            <w:pPr>
              <w:pStyle w:val="465"/>
              <w:rPr>
                <w:rFonts w:hint="default" w:ascii="Times New Roman" w:hAnsi="Times New Roman" w:cs="Times New Roman"/>
              </w:rPr>
            </w:pPr>
            <w:r>
              <w:rPr>
                <w:rFonts w:hint="default" w:ascii="Times New Roman" w:hAnsi="Times New Roman" w:cs="Times New Roman"/>
              </w:rPr>
              <w:t>10</w:t>
            </w:r>
          </w:p>
        </w:tc>
        <w:tc>
          <w:tcPr>
            <w:tcW w:w="848" w:type="dxa"/>
            <w:vAlign w:val="center"/>
          </w:tcPr>
          <w:p>
            <w:pPr>
              <w:pStyle w:val="465"/>
              <w:rPr>
                <w:rFonts w:hint="default" w:ascii="Times New Roman" w:hAnsi="Times New Roman" w:cs="Times New Roman"/>
              </w:rPr>
            </w:pPr>
            <w:r>
              <w:rPr>
                <w:rFonts w:hint="default" w:ascii="Times New Roman" w:hAnsi="Times New Roman" w:cs="Times New Roman"/>
              </w:rPr>
              <w:t>10</w:t>
            </w:r>
          </w:p>
        </w:tc>
        <w:tc>
          <w:tcPr>
            <w:tcW w:w="1042" w:type="dxa"/>
            <w:vAlign w:val="center"/>
          </w:tcPr>
          <w:p>
            <w:pPr>
              <w:pStyle w:val="465"/>
              <w:rPr>
                <w:rFonts w:hint="default" w:ascii="Times New Roman" w:hAnsi="Times New Roman" w:eastAsia="宋体" w:cs="Times New Roman"/>
                <w:lang w:eastAsia="zh-CN"/>
              </w:rPr>
            </w:pPr>
            <w:r>
              <w:rPr>
                <w:rFonts w:hint="default" w:ascii="Times New Roman" w:hAnsi="Times New Roman" w:cs="Times New Roman"/>
                <w:lang w:val="en-US" w:eastAsia="zh-CN"/>
              </w:rPr>
              <w:t>5</w:t>
            </w:r>
          </w:p>
        </w:tc>
        <w:tc>
          <w:tcPr>
            <w:tcW w:w="948" w:type="dxa"/>
            <w:vAlign w:val="center"/>
          </w:tcPr>
          <w:p>
            <w:pPr>
              <w:pStyle w:val="465"/>
              <w:rPr>
                <w:rFonts w:hint="default" w:ascii="Times New Roman" w:hAnsi="Times New Roman" w:cs="Times New Roman"/>
              </w:rPr>
            </w:pPr>
            <w:r>
              <w:rPr>
                <w:rFonts w:hint="default" w:ascii="Times New Roman" w:hAnsi="Times New Roman" w:cs="Times New Roman"/>
                <w:lang w:val="en-US" w:eastAsia="zh-CN"/>
              </w:rPr>
              <w:t>50</w:t>
            </w:r>
            <w:r>
              <w:rPr>
                <w:rFonts w:hint="default" w:ascii="Times New Roman" w:hAnsi="Times New Roman" w:cs="Times New Roman"/>
              </w:rPr>
              <w:t>%</w:t>
            </w:r>
          </w:p>
        </w:tc>
        <w:tc>
          <w:tcPr>
            <w:tcW w:w="1071" w:type="dxa"/>
            <w:vAlign w:val="center"/>
          </w:tcPr>
          <w:p>
            <w:pPr>
              <w:pStyle w:val="465"/>
              <w:rPr>
                <w:rFonts w:hint="default" w:ascii="Times New Roman" w:hAnsi="Times New Roman" w:cs="Times New Roman"/>
                <w:b/>
              </w:rPr>
            </w:pPr>
            <w:r>
              <w:rPr>
                <w:rFonts w:hint="default" w:ascii="Times New Roman" w:hAnsi="Times New Roman" w:cs="Times New Roman"/>
              </w:rPr>
              <w:t>优良</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57" w:hRule="atLeast"/>
        </w:trPr>
        <w:tc>
          <w:tcPr>
            <w:tcW w:w="1679" w:type="dxa"/>
            <w:vMerge w:val="restart"/>
            <w:noWrap/>
            <w:vAlign w:val="center"/>
          </w:tcPr>
          <w:p>
            <w:pPr>
              <w:pStyle w:val="465"/>
              <w:rPr>
                <w:rFonts w:hint="default" w:ascii="Times New Roman" w:hAnsi="Times New Roman" w:cs="Times New Roman"/>
              </w:rPr>
            </w:pPr>
            <w:r>
              <w:rPr>
                <w:rFonts w:hint="default" w:ascii="Times New Roman" w:hAnsi="Times New Roman" w:cs="Times New Roman"/>
              </w:rPr>
              <w:t>植被建设工程</w:t>
            </w:r>
          </w:p>
        </w:tc>
        <w:tc>
          <w:tcPr>
            <w:tcW w:w="2071" w:type="dxa"/>
            <w:vAlign w:val="center"/>
          </w:tcPr>
          <w:p>
            <w:pPr>
              <w:pStyle w:val="465"/>
              <w:rPr>
                <w:rFonts w:hint="default" w:ascii="Times New Roman" w:hAnsi="Times New Roman" w:cs="Times New Roman"/>
              </w:rPr>
            </w:pPr>
            <w:r>
              <w:rPr>
                <w:rFonts w:hint="default" w:ascii="Times New Roman" w:hAnsi="Times New Roman" w:cs="Times New Roman"/>
              </w:rPr>
              <w:t>线状植被</w:t>
            </w:r>
          </w:p>
        </w:tc>
        <w:tc>
          <w:tcPr>
            <w:tcW w:w="1322" w:type="dxa"/>
            <w:vAlign w:val="center"/>
          </w:tcPr>
          <w:p>
            <w:pPr>
              <w:pStyle w:val="465"/>
              <w:rPr>
                <w:rFonts w:hint="default" w:ascii="Times New Roman" w:hAnsi="Times New Roman" w:cs="Times New Roman"/>
              </w:rPr>
            </w:pPr>
            <w:r>
              <w:rPr>
                <w:rFonts w:hint="default" w:ascii="Times New Roman" w:hAnsi="Times New Roman" w:cs="Times New Roman"/>
                <w:lang w:val="en-US" w:eastAsia="zh-CN"/>
              </w:rPr>
              <w:t>6</w:t>
            </w:r>
          </w:p>
        </w:tc>
        <w:tc>
          <w:tcPr>
            <w:tcW w:w="848" w:type="dxa"/>
            <w:vAlign w:val="center"/>
          </w:tcPr>
          <w:p>
            <w:pPr>
              <w:pStyle w:val="465"/>
              <w:rPr>
                <w:rFonts w:hint="default" w:ascii="Times New Roman" w:hAnsi="Times New Roman" w:cs="Times New Roman"/>
              </w:rPr>
            </w:pPr>
            <w:r>
              <w:rPr>
                <w:rFonts w:hint="default" w:ascii="Times New Roman" w:hAnsi="Times New Roman" w:cs="Times New Roman"/>
                <w:lang w:val="en-US" w:eastAsia="zh-CN"/>
              </w:rPr>
              <w:t>6</w:t>
            </w:r>
          </w:p>
        </w:tc>
        <w:tc>
          <w:tcPr>
            <w:tcW w:w="1042" w:type="dxa"/>
            <w:vAlign w:val="center"/>
          </w:tcPr>
          <w:p>
            <w:pPr>
              <w:pStyle w:val="465"/>
              <w:rPr>
                <w:rFonts w:hint="default" w:ascii="Times New Roman" w:hAnsi="Times New Roman" w:eastAsia="宋体" w:cs="Times New Roman"/>
                <w:lang w:eastAsia="zh-CN"/>
              </w:rPr>
            </w:pPr>
            <w:r>
              <w:rPr>
                <w:rFonts w:hint="default" w:ascii="Times New Roman" w:hAnsi="Times New Roman" w:cs="Times New Roman"/>
                <w:lang w:val="en-US" w:eastAsia="zh-CN"/>
              </w:rPr>
              <w:t>2</w:t>
            </w:r>
          </w:p>
        </w:tc>
        <w:tc>
          <w:tcPr>
            <w:tcW w:w="948" w:type="dxa"/>
            <w:vAlign w:val="center"/>
          </w:tcPr>
          <w:p>
            <w:pPr>
              <w:pStyle w:val="465"/>
              <w:rPr>
                <w:rFonts w:hint="default" w:ascii="Times New Roman" w:hAnsi="Times New Roman" w:cs="Times New Roman"/>
              </w:rPr>
            </w:pPr>
            <w:r>
              <w:rPr>
                <w:rFonts w:hint="default" w:ascii="Times New Roman" w:hAnsi="Times New Roman" w:cs="Times New Roman"/>
                <w:lang w:val="en-US" w:eastAsia="zh-CN"/>
              </w:rPr>
              <w:t>33</w:t>
            </w:r>
            <w:r>
              <w:rPr>
                <w:rFonts w:hint="default" w:ascii="Times New Roman" w:hAnsi="Times New Roman" w:cs="Times New Roman"/>
              </w:rPr>
              <w:t>%</w:t>
            </w:r>
          </w:p>
        </w:tc>
        <w:tc>
          <w:tcPr>
            <w:tcW w:w="1071" w:type="dxa"/>
            <w:vAlign w:val="center"/>
          </w:tcPr>
          <w:p>
            <w:pPr>
              <w:pStyle w:val="465"/>
              <w:rPr>
                <w:rFonts w:hint="default" w:ascii="Times New Roman" w:hAnsi="Times New Roman" w:cs="Times New Roman"/>
              </w:rPr>
            </w:pPr>
            <w:r>
              <w:rPr>
                <w:rFonts w:hint="default" w:ascii="Times New Roman" w:hAnsi="Times New Roman" w:cs="Times New Roman"/>
              </w:rPr>
              <w:t>合格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57" w:hRule="atLeast"/>
        </w:trPr>
        <w:tc>
          <w:tcPr>
            <w:tcW w:w="1679" w:type="dxa"/>
            <w:vMerge w:val="continue"/>
            <w:noWrap/>
            <w:vAlign w:val="center"/>
          </w:tcPr>
          <w:p>
            <w:pPr>
              <w:pStyle w:val="465"/>
              <w:rPr>
                <w:rFonts w:hint="default" w:ascii="Times New Roman" w:hAnsi="Times New Roman" w:cs="Times New Roman"/>
              </w:rPr>
            </w:pPr>
          </w:p>
        </w:tc>
        <w:tc>
          <w:tcPr>
            <w:tcW w:w="2071" w:type="dxa"/>
            <w:vAlign w:val="center"/>
          </w:tcPr>
          <w:p>
            <w:pPr>
              <w:pStyle w:val="465"/>
              <w:rPr>
                <w:rFonts w:hint="default" w:ascii="Times New Roman" w:hAnsi="Times New Roman" w:cs="Times New Roman"/>
              </w:rPr>
            </w:pPr>
            <w:r>
              <w:rPr>
                <w:rFonts w:hint="default" w:ascii="Times New Roman" w:hAnsi="Times New Roman" w:cs="Times New Roman"/>
              </w:rPr>
              <w:t>片状植被</w:t>
            </w:r>
          </w:p>
        </w:tc>
        <w:tc>
          <w:tcPr>
            <w:tcW w:w="1322" w:type="dxa"/>
            <w:vAlign w:val="center"/>
          </w:tcPr>
          <w:p>
            <w:pPr>
              <w:pStyle w:val="465"/>
              <w:rPr>
                <w:rFonts w:hint="default" w:ascii="Times New Roman" w:hAnsi="Times New Roman" w:cs="Times New Roman"/>
              </w:rPr>
            </w:pPr>
            <w:r>
              <w:rPr>
                <w:rFonts w:hint="default" w:ascii="Times New Roman" w:hAnsi="Times New Roman" w:cs="Times New Roman"/>
              </w:rPr>
              <w:t>10</w:t>
            </w:r>
          </w:p>
        </w:tc>
        <w:tc>
          <w:tcPr>
            <w:tcW w:w="848" w:type="dxa"/>
            <w:vAlign w:val="center"/>
          </w:tcPr>
          <w:p>
            <w:pPr>
              <w:pStyle w:val="465"/>
              <w:rPr>
                <w:rFonts w:hint="default" w:ascii="Times New Roman" w:hAnsi="Times New Roman" w:cs="Times New Roman"/>
              </w:rPr>
            </w:pPr>
            <w:r>
              <w:rPr>
                <w:rFonts w:hint="default" w:ascii="Times New Roman" w:hAnsi="Times New Roman" w:cs="Times New Roman"/>
              </w:rPr>
              <w:t>10</w:t>
            </w:r>
          </w:p>
        </w:tc>
        <w:tc>
          <w:tcPr>
            <w:tcW w:w="1042" w:type="dxa"/>
            <w:vAlign w:val="center"/>
          </w:tcPr>
          <w:p>
            <w:pPr>
              <w:pStyle w:val="465"/>
              <w:rPr>
                <w:rFonts w:hint="eastAsia" w:ascii="Times New Roman" w:hAnsi="Times New Roman" w:eastAsia="宋体" w:cs="Times New Roman"/>
                <w:lang w:eastAsia="zh-CN"/>
              </w:rPr>
            </w:pPr>
            <w:r>
              <w:rPr>
                <w:rFonts w:hint="eastAsia" w:cs="Times New Roman"/>
                <w:lang w:val="en-US" w:eastAsia="zh-CN"/>
              </w:rPr>
              <w:t>4</w:t>
            </w:r>
          </w:p>
        </w:tc>
        <w:tc>
          <w:tcPr>
            <w:tcW w:w="948" w:type="dxa"/>
            <w:vAlign w:val="center"/>
          </w:tcPr>
          <w:p>
            <w:pPr>
              <w:pStyle w:val="465"/>
              <w:rPr>
                <w:rFonts w:hint="default" w:ascii="Times New Roman" w:hAnsi="Times New Roman" w:cs="Times New Roman"/>
              </w:rPr>
            </w:pPr>
            <w:r>
              <w:rPr>
                <w:rFonts w:hint="eastAsia" w:cs="Times New Roman"/>
                <w:lang w:val="en-US" w:eastAsia="zh-CN"/>
              </w:rPr>
              <w:t>4</w:t>
            </w:r>
            <w:r>
              <w:rPr>
                <w:rFonts w:hint="default" w:ascii="Times New Roman" w:hAnsi="Times New Roman" w:cs="Times New Roman"/>
              </w:rPr>
              <w:t>0%</w:t>
            </w:r>
          </w:p>
        </w:tc>
        <w:tc>
          <w:tcPr>
            <w:tcW w:w="1071" w:type="dxa"/>
            <w:vAlign w:val="center"/>
          </w:tcPr>
          <w:p>
            <w:pPr>
              <w:pStyle w:val="465"/>
              <w:rPr>
                <w:rFonts w:hint="eastAsia" w:ascii="Times New Roman" w:hAnsi="Times New Roman" w:eastAsia="宋体" w:cs="Times New Roman"/>
                <w:lang w:eastAsia="zh-CN"/>
              </w:rPr>
            </w:pPr>
            <w:r>
              <w:rPr>
                <w:rFonts w:hint="eastAsia" w:cs="Times New Roman"/>
                <w:lang w:val="en-US" w:eastAsia="zh-CN"/>
              </w:rPr>
              <w:t>合格</w:t>
            </w:r>
          </w:p>
        </w:tc>
      </w:tr>
    </w:tbl>
    <w:p>
      <w:pPr>
        <w:pStyle w:val="440"/>
        <w:spacing w:line="240" w:lineRule="auto"/>
        <w:ind w:firstLine="420"/>
        <w:rPr>
          <w:rFonts w:hint="default" w:ascii="Times New Roman" w:hAnsi="Times New Roman" w:cs="Times New Roman"/>
          <w:sz w:val="21"/>
          <w:szCs w:val="21"/>
        </w:rPr>
      </w:pPr>
      <w:r>
        <w:rPr>
          <w:rFonts w:hint="default" w:ascii="Times New Roman" w:hAnsi="Times New Roman" w:cs="Times New Roman"/>
          <w:sz w:val="21"/>
          <w:szCs w:val="21"/>
        </w:rPr>
        <w:t>注：1、整个施工过程中未发生任何施工危害事故。</w:t>
      </w:r>
    </w:p>
    <w:p>
      <w:pPr>
        <w:pStyle w:val="3"/>
        <w:rPr>
          <w:rFonts w:hint="default" w:ascii="Times New Roman" w:hAnsi="Times New Roman" w:cs="Times New Roman"/>
        </w:rPr>
      </w:pPr>
      <w:bookmarkStart w:id="52" w:name="_Toc502049586"/>
      <w:r>
        <w:rPr>
          <w:rFonts w:hint="default" w:ascii="Times New Roman" w:hAnsi="Times New Roman" w:cs="Times New Roman"/>
        </w:rPr>
        <w:t>4.3总体质量评价</w:t>
      </w:r>
      <w:bookmarkEnd w:id="52"/>
    </w:p>
    <w:p>
      <w:pPr>
        <w:pStyle w:val="440"/>
        <w:ind w:firstLine="480"/>
        <w:rPr>
          <w:rFonts w:hint="default" w:ascii="Times New Roman" w:hAnsi="Times New Roman" w:eastAsia="宋体" w:cs="Times New Roman"/>
        </w:rPr>
      </w:pPr>
      <w:r>
        <w:rPr>
          <w:rFonts w:hint="default" w:ascii="Times New Roman" w:hAnsi="Times New Roman" w:cs="Times New Roman"/>
        </w:rPr>
        <w:t>泸州市江阳区蓝田梨子园安置房建设项目</w:t>
      </w:r>
      <w:r>
        <w:rPr>
          <w:rFonts w:hint="default" w:ascii="Times New Roman" w:hAnsi="Times New Roman" w:eastAsia="宋体" w:cs="Times New Roman"/>
        </w:rPr>
        <w:t>水土保持方案项目分为工程措施和植物措施两部分。</w:t>
      </w:r>
    </w:p>
    <w:p>
      <w:pPr>
        <w:pStyle w:val="440"/>
        <w:ind w:firstLine="480"/>
        <w:rPr>
          <w:rFonts w:hint="default" w:ascii="Times New Roman" w:hAnsi="Times New Roman" w:cs="Times New Roman"/>
        </w:rPr>
      </w:pPr>
      <w:r>
        <w:rPr>
          <w:rFonts w:hint="default" w:ascii="Times New Roman" w:hAnsi="Times New Roman" w:cs="Times New Roman"/>
        </w:rPr>
        <w:t>本工程水土保持工程措施划分为2个单位工程</w:t>
      </w:r>
      <w:r>
        <w:rPr>
          <w:rFonts w:hint="default" w:ascii="Times New Roman" w:hAnsi="Times New Roman" w:cs="Times New Roman"/>
          <w:lang w:val="en-US" w:eastAsia="zh-CN"/>
        </w:rPr>
        <w:t>2</w:t>
      </w:r>
      <w:r>
        <w:rPr>
          <w:rFonts w:hint="default" w:ascii="Times New Roman" w:hAnsi="Times New Roman" w:cs="Times New Roman"/>
        </w:rPr>
        <w:t>个分部工程和24个单元工程，24个单元工程全部合格，工程措施总体质量评定为合格。</w:t>
      </w:r>
    </w:p>
    <w:p>
      <w:pPr>
        <w:pStyle w:val="440"/>
        <w:ind w:firstLine="480"/>
        <w:rPr>
          <w:rFonts w:hint="default" w:ascii="Times New Roman" w:hAnsi="Times New Roman" w:cs="Times New Roman"/>
        </w:rPr>
      </w:pPr>
      <w:r>
        <w:rPr>
          <w:rFonts w:hint="default" w:ascii="Times New Roman" w:hAnsi="Times New Roman" w:cs="Times New Roman"/>
        </w:rPr>
        <w:t>本工程水土保持植物措施划分为1个单位工程2个分部工程和</w:t>
      </w:r>
      <w:r>
        <w:rPr>
          <w:rFonts w:hint="default" w:ascii="Times New Roman" w:hAnsi="Times New Roman" w:cs="Times New Roman"/>
          <w:lang w:val="en-US" w:eastAsia="zh-CN"/>
        </w:rPr>
        <w:t>16</w:t>
      </w:r>
      <w:r>
        <w:rPr>
          <w:rFonts w:hint="default" w:ascii="Times New Roman" w:hAnsi="Times New Roman" w:cs="Times New Roman"/>
        </w:rPr>
        <w:t>个单元工程，1</w:t>
      </w:r>
      <w:r>
        <w:rPr>
          <w:rFonts w:hint="default" w:ascii="Times New Roman" w:hAnsi="Times New Roman" w:cs="Times New Roman"/>
          <w:lang w:val="en-US" w:eastAsia="zh-CN"/>
        </w:rPr>
        <w:t>6</w:t>
      </w:r>
      <w:r>
        <w:rPr>
          <w:rFonts w:hint="default" w:ascii="Times New Roman" w:hAnsi="Times New Roman" w:cs="Times New Roman"/>
        </w:rPr>
        <w:t>个单元工程全部合格，植物措施总体质量评定为合格。</w:t>
      </w:r>
    </w:p>
    <w:p>
      <w:pPr>
        <w:pStyle w:val="440"/>
        <w:ind w:firstLine="480"/>
        <w:rPr>
          <w:rFonts w:hint="default" w:ascii="Times New Roman" w:hAnsi="Times New Roman" w:cs="Times New Roman"/>
        </w:rPr>
      </w:pPr>
      <w:r>
        <w:rPr>
          <w:rFonts w:hint="default" w:ascii="Times New Roman" w:hAnsi="Times New Roman" w:cs="Times New Roman"/>
        </w:rPr>
        <w:t>综上所述，本次验收范围内工程总体质量评定为合格。工程组通过检查评估认为，本工程的水土保持设施运行效果良好，发挥了较好的防护效果，水土保持设施总体质量合格，可以交付使用。</w:t>
      </w:r>
      <w:bookmarkStart w:id="53" w:name="_Toc502049587"/>
    </w:p>
    <w:p>
      <w:pPr>
        <w:pStyle w:val="2"/>
        <w:rPr>
          <w:rFonts w:hint="default" w:ascii="Times New Roman" w:hAnsi="Times New Roman" w:cs="Times New Roman"/>
        </w:rPr>
      </w:pPr>
      <w:r>
        <w:rPr>
          <w:rFonts w:hint="default" w:ascii="Times New Roman" w:hAnsi="Times New Roman" w:cs="Times New Roman"/>
        </w:rPr>
        <w:t>5项目初期运行及水土保持效果</w:t>
      </w:r>
      <w:bookmarkEnd w:id="53"/>
    </w:p>
    <w:p>
      <w:pPr>
        <w:pStyle w:val="3"/>
        <w:rPr>
          <w:rFonts w:hint="default" w:ascii="Times New Roman" w:hAnsi="Times New Roman" w:cs="Times New Roman"/>
        </w:rPr>
      </w:pPr>
      <w:bookmarkStart w:id="54" w:name="_Toc502049588"/>
      <w:r>
        <w:rPr>
          <w:rFonts w:hint="default" w:ascii="Times New Roman" w:hAnsi="Times New Roman" w:cs="Times New Roman"/>
        </w:rPr>
        <w:t>5.1初期运行情况</w:t>
      </w:r>
      <w:bookmarkEnd w:id="54"/>
    </w:p>
    <w:p>
      <w:pPr>
        <w:pStyle w:val="440"/>
        <w:ind w:firstLine="480"/>
        <w:rPr>
          <w:rFonts w:hint="default" w:ascii="Times New Roman" w:hAnsi="Times New Roman" w:cs="Times New Roman"/>
        </w:rPr>
      </w:pPr>
      <w:r>
        <w:rPr>
          <w:rFonts w:hint="default" w:ascii="Times New Roman" w:hAnsi="Times New Roman" w:eastAsia="宋体" w:cs="Times New Roman"/>
        </w:rPr>
        <w:t>工程运行初期，建成的各项水土保持工程运行正常，能有效的控制水土流失。根据监测报告，</w:t>
      </w:r>
      <w:r>
        <w:rPr>
          <w:rFonts w:hint="default" w:ascii="Times New Roman" w:hAnsi="Times New Roman" w:cs="Times New Roman"/>
        </w:rPr>
        <w:t>水土保持设施布局合理，完成的质量和数量均符合设计标准，实现了保护道路安全，控制水土流失，恢复和改善生态环境的设计目标。工程档案管理规范，竣工资料齐全，质量检验和评定程序规范，水土保持设施工程质量总体合格，经过一年多试运行的考验，未发现重大质量缺陷，运行情况良好，已具备较强的水土保持功能。水土保持设施所产生的经济效益、生态效益，以及社会效益，能够满足国家对开发建设项目水土保持的要求。项目区实际扰动土地整治率</w:t>
      </w:r>
      <w:r>
        <w:rPr>
          <w:rFonts w:hint="default" w:ascii="Times New Roman" w:hAnsi="Times New Roman" w:cs="Times New Roman"/>
          <w:lang w:val="en-US" w:eastAsia="zh-CN"/>
        </w:rPr>
        <w:t>100</w:t>
      </w:r>
      <w:r>
        <w:rPr>
          <w:rFonts w:hint="default" w:ascii="Times New Roman" w:hAnsi="Times New Roman" w:cs="Times New Roman"/>
        </w:rPr>
        <w:t>%，水土流失总治理度</w:t>
      </w:r>
      <w:r>
        <w:rPr>
          <w:rFonts w:hint="default" w:ascii="Times New Roman" w:hAnsi="Times New Roman" w:cs="Times New Roman"/>
          <w:lang w:val="en-US" w:eastAsia="zh-CN"/>
        </w:rPr>
        <w:t>100</w:t>
      </w:r>
      <w:r>
        <w:rPr>
          <w:rFonts w:hint="default" w:ascii="Times New Roman" w:hAnsi="Times New Roman" w:cs="Times New Roman"/>
        </w:rPr>
        <w:t>%，土壤流失控制比</w:t>
      </w:r>
      <w:r>
        <w:rPr>
          <w:rFonts w:hint="default" w:ascii="Times New Roman" w:hAnsi="Times New Roman" w:cs="Times New Roman"/>
          <w:lang w:val="en-US" w:eastAsia="zh-CN"/>
        </w:rPr>
        <w:t>1.0</w:t>
      </w:r>
      <w:r>
        <w:rPr>
          <w:rFonts w:hint="default" w:ascii="Times New Roman" w:hAnsi="Times New Roman" w:cs="Times New Roman"/>
        </w:rPr>
        <w:t>，拦渣率</w:t>
      </w:r>
      <w:r>
        <w:rPr>
          <w:rFonts w:hint="default" w:ascii="Times New Roman" w:hAnsi="Times New Roman" w:cs="Times New Roman"/>
          <w:lang w:val="en-US" w:eastAsia="zh-CN"/>
        </w:rPr>
        <w:t>97</w:t>
      </w:r>
      <w:r>
        <w:rPr>
          <w:rFonts w:hint="default" w:ascii="Times New Roman" w:hAnsi="Times New Roman" w:cs="Times New Roman"/>
        </w:rPr>
        <w:t>%，林草植被恢复率100%，林草覆盖率</w:t>
      </w:r>
      <w:r>
        <w:rPr>
          <w:rFonts w:hint="default" w:ascii="Times New Roman" w:hAnsi="Times New Roman" w:cs="Times New Roman"/>
          <w:lang w:val="en-US" w:eastAsia="zh-CN"/>
        </w:rPr>
        <w:t>35.5</w:t>
      </w:r>
      <w:r>
        <w:rPr>
          <w:rFonts w:hint="default" w:ascii="Times New Roman" w:hAnsi="Times New Roman" w:cs="Times New Roman"/>
        </w:rPr>
        <w:t>%，达到了防治目标。</w:t>
      </w:r>
    </w:p>
    <w:p>
      <w:pPr>
        <w:pStyle w:val="440"/>
        <w:ind w:firstLine="480"/>
        <w:rPr>
          <w:rFonts w:hint="default" w:ascii="Times New Roman" w:hAnsi="Times New Roman" w:eastAsia="宋体" w:cs="Times New Roman"/>
        </w:rPr>
      </w:pPr>
      <w:r>
        <w:rPr>
          <w:rFonts w:hint="default" w:ascii="Times New Roman" w:hAnsi="Times New Roman" w:eastAsia="宋体" w:cs="Times New Roman"/>
        </w:rPr>
        <w:t>经过现场检查、查阅有关自检成果和交工资料，该工程从原材料、中间产品至成品的质量均合格，建筑物结构尺寸规则，外表美观，质量符合设计要求，工程措施质量总体合格。各项水保设施自修建运行到现在，均发挥了良好的水土保持效果。该工程所实施的水土保持植物措施得当，草、树种选择合理，管理措施得力，草、灌木成活率、覆盖率较高，对保护和美化当地的生态环境起到了积极的作用，植物措施总体上合格。</w:t>
      </w:r>
    </w:p>
    <w:p>
      <w:pPr>
        <w:pStyle w:val="440"/>
        <w:ind w:firstLine="480"/>
        <w:rPr>
          <w:rFonts w:hint="default" w:ascii="Times New Roman" w:hAnsi="Times New Roman" w:eastAsia="宋体" w:cs="Times New Roman"/>
        </w:rPr>
      </w:pPr>
      <w:r>
        <w:rPr>
          <w:rFonts w:hint="default" w:ascii="Times New Roman" w:hAnsi="Times New Roman" w:eastAsia="宋体" w:cs="Times New Roman"/>
        </w:rPr>
        <w:t>道路及生活区的绿化明显改善了生产、生活环境。各项水保设施随着年限增长将持续发挥更大的效益。就现有设施而言，方案预测的水土流失危害基本得到了有效控制，水土流失防治总体布设是符合实际和合理的，方案实施情况总体良好，水土流失防治效果达到了国家有关法律法规和技术规范的要求。</w:t>
      </w:r>
    </w:p>
    <w:p>
      <w:pPr>
        <w:pStyle w:val="3"/>
        <w:rPr>
          <w:rFonts w:hint="default" w:ascii="Times New Roman" w:hAnsi="Times New Roman" w:cs="Times New Roman"/>
        </w:rPr>
      </w:pPr>
      <w:bookmarkStart w:id="55" w:name="_Toc502049589"/>
      <w:bookmarkStart w:id="56" w:name="_Toc495795599"/>
      <w:r>
        <w:rPr>
          <w:rFonts w:hint="default" w:ascii="Times New Roman" w:hAnsi="Times New Roman" w:cs="Times New Roman"/>
        </w:rPr>
        <w:t>5.2水土保持效果</w:t>
      </w:r>
      <w:bookmarkEnd w:id="55"/>
      <w:bookmarkEnd w:id="56"/>
    </w:p>
    <w:p>
      <w:pPr>
        <w:pStyle w:val="440"/>
        <w:ind w:firstLine="480"/>
        <w:rPr>
          <w:rFonts w:hint="default" w:ascii="Times New Roman" w:hAnsi="Times New Roman" w:cs="Times New Roman"/>
        </w:rPr>
      </w:pPr>
      <w:r>
        <w:rPr>
          <w:rFonts w:hint="default" w:ascii="Times New Roman" w:hAnsi="Times New Roman" w:cs="Times New Roman"/>
        </w:rPr>
        <w:t>综合评估组通过查阅气象、施工记录等资料，进行水土流失现状调查和实地量测，对工程施工过程中的水土流失和环境状况、防治措施的管理运行情况、水土流失防治及生态环境改善的效果等进行调查、评价，结合工程组、植物组的评估意见和水土保持的监测报告结果，与水土流失防治标准相对照，达到了预防和治理水土流失的效果。</w:t>
      </w:r>
    </w:p>
    <w:p>
      <w:pPr>
        <w:pStyle w:val="4"/>
        <w:rPr>
          <w:rFonts w:hint="default" w:ascii="Times New Roman" w:hAnsi="Times New Roman" w:cs="Times New Roman"/>
        </w:rPr>
      </w:pPr>
      <w:bookmarkStart w:id="57" w:name="_Toc496171470"/>
      <w:r>
        <w:rPr>
          <w:rFonts w:hint="default" w:ascii="Times New Roman" w:hAnsi="Times New Roman" w:cs="Times New Roman"/>
        </w:rPr>
        <w:t>5.1.1扰动土地治理情况</w:t>
      </w:r>
      <w:bookmarkEnd w:id="57"/>
    </w:p>
    <w:p>
      <w:pPr>
        <w:pStyle w:val="440"/>
        <w:ind w:firstLine="480"/>
        <w:rPr>
          <w:rFonts w:hint="default" w:ascii="Times New Roman" w:hAnsi="Times New Roman" w:cs="Times New Roman"/>
        </w:rPr>
      </w:pPr>
      <w:r>
        <w:rPr>
          <w:rFonts w:hint="default" w:ascii="Times New Roman" w:hAnsi="Times New Roman" w:cs="Times New Roman"/>
        </w:rPr>
        <w:t>项目建设区范围内扰动土地的整治面积占扰动土地总面积的百分比。</w:t>
      </w:r>
    </w:p>
    <w:p>
      <w:pPr>
        <w:pStyle w:val="440"/>
        <w:ind w:firstLine="480"/>
        <w:rPr>
          <w:rFonts w:hint="default" w:ascii="Times New Roman" w:hAnsi="Times New Roman" w:cs="Times New Roman"/>
        </w:rPr>
      </w:pPr>
      <w:r>
        <w:rPr>
          <w:rFonts w:hint="default" w:ascii="Times New Roman" w:hAnsi="Times New Roman" w:cs="Times New Roman"/>
        </w:rPr>
        <w:t>扰动土地整治率（%）＝（水土保持措施防治面积＋永久建筑物占压面积）/ 建设区扰动地表面积×100％。</w:t>
      </w:r>
    </w:p>
    <w:p>
      <w:pPr>
        <w:pStyle w:val="440"/>
        <w:ind w:firstLine="480"/>
        <w:rPr>
          <w:rFonts w:hint="default" w:ascii="Times New Roman" w:hAnsi="Times New Roman" w:cs="Times New Roman"/>
        </w:rPr>
      </w:pPr>
      <w:r>
        <w:rPr>
          <w:rFonts w:hint="default" w:ascii="Times New Roman" w:hAnsi="Times New Roman" w:cs="Times New Roman"/>
        </w:rPr>
        <w:t>经调查核实，工程建设实际扰动土地面积为</w:t>
      </w:r>
      <w:r>
        <w:rPr>
          <w:rFonts w:hint="default" w:ascii="Times New Roman" w:hAnsi="Times New Roman" w:cs="Times New Roman"/>
          <w:lang w:val="en-US" w:eastAsia="zh-CN"/>
        </w:rPr>
        <w:t>1.34</w:t>
      </w:r>
      <w:r>
        <w:rPr>
          <w:rFonts w:hint="default" w:ascii="Times New Roman" w:hAnsi="Times New Roman" w:cs="Times New Roman"/>
        </w:rPr>
        <w:t>hm</w:t>
      </w:r>
      <w:r>
        <w:rPr>
          <w:rFonts w:hint="default" w:ascii="Times New Roman" w:hAnsi="Times New Roman" w:cs="Times New Roman"/>
          <w:vertAlign w:val="superscript"/>
        </w:rPr>
        <w:t>2</w:t>
      </w:r>
      <w:r>
        <w:rPr>
          <w:rFonts w:hint="default" w:ascii="Times New Roman" w:hAnsi="Times New Roman" w:cs="Times New Roman"/>
        </w:rPr>
        <w:t>。通过各项水土保持措施的实施共计完成治理面积</w:t>
      </w:r>
      <w:r>
        <w:rPr>
          <w:rFonts w:hint="default" w:ascii="Times New Roman" w:hAnsi="Times New Roman" w:cs="Times New Roman"/>
          <w:lang w:val="en-US" w:eastAsia="zh-CN"/>
        </w:rPr>
        <w:t>1.34</w:t>
      </w:r>
      <w:r>
        <w:rPr>
          <w:rFonts w:hint="default" w:ascii="Times New Roman" w:hAnsi="Times New Roman" w:cs="Times New Roman"/>
        </w:rPr>
        <w:t>hm</w:t>
      </w:r>
      <w:r>
        <w:rPr>
          <w:rFonts w:hint="default" w:ascii="Times New Roman" w:hAnsi="Times New Roman" w:cs="Times New Roman"/>
          <w:vertAlign w:val="superscript"/>
        </w:rPr>
        <w:t>2</w:t>
      </w:r>
      <w:r>
        <w:rPr>
          <w:rFonts w:hint="default" w:ascii="Times New Roman" w:hAnsi="Times New Roman" w:cs="Times New Roman"/>
        </w:rPr>
        <w:t>，项目区平均扰动土地整治率</w:t>
      </w:r>
      <w:r>
        <w:rPr>
          <w:rFonts w:hint="default" w:ascii="Times New Roman" w:hAnsi="Times New Roman" w:cs="Times New Roman"/>
          <w:lang w:val="en-US" w:eastAsia="zh-CN"/>
        </w:rPr>
        <w:t>100</w:t>
      </w:r>
      <w:r>
        <w:rPr>
          <w:rFonts w:hint="default" w:ascii="Times New Roman" w:hAnsi="Times New Roman" w:cs="Times New Roman"/>
        </w:rPr>
        <w:t>%。</w:t>
      </w:r>
    </w:p>
    <w:p>
      <w:pPr>
        <w:pStyle w:val="4"/>
        <w:rPr>
          <w:rFonts w:hint="default" w:ascii="Times New Roman" w:hAnsi="Times New Roman" w:cs="Times New Roman"/>
        </w:rPr>
      </w:pPr>
      <w:bookmarkStart w:id="58" w:name="_Toc496171471"/>
      <w:r>
        <w:rPr>
          <w:rFonts w:hint="default" w:ascii="Times New Roman" w:hAnsi="Times New Roman" w:cs="Times New Roman"/>
        </w:rPr>
        <w:t>5.1.2水土流失总治理程度</w:t>
      </w:r>
      <w:bookmarkEnd w:id="58"/>
    </w:p>
    <w:p>
      <w:pPr>
        <w:pStyle w:val="440"/>
        <w:ind w:firstLine="480"/>
        <w:rPr>
          <w:rFonts w:hint="default" w:ascii="Times New Roman" w:hAnsi="Times New Roman" w:cs="Times New Roman"/>
        </w:rPr>
      </w:pPr>
      <w:r>
        <w:rPr>
          <w:rFonts w:hint="default" w:ascii="Times New Roman" w:hAnsi="Times New Roman" w:cs="Times New Roman"/>
        </w:rPr>
        <w:t xml:space="preserve">项目建设区范围内水土流失治理面积占水土流失总面积的百分比。 </w:t>
      </w:r>
    </w:p>
    <w:p>
      <w:pPr>
        <w:pStyle w:val="440"/>
        <w:ind w:firstLine="480"/>
        <w:rPr>
          <w:rFonts w:hint="default" w:ascii="Times New Roman" w:hAnsi="Times New Roman" w:cs="Times New Roman"/>
        </w:rPr>
      </w:pPr>
      <w:r>
        <w:rPr>
          <w:rFonts w:hint="default" w:ascii="Times New Roman" w:hAnsi="Times New Roman" w:cs="Times New Roman"/>
        </w:rPr>
        <w:t>水土流失总治理度（%）＝水土保持措施防治面积/ 建设区水土流失总面积×100％。</w:t>
      </w:r>
    </w:p>
    <w:p>
      <w:pPr>
        <w:pStyle w:val="440"/>
        <w:ind w:firstLine="480"/>
        <w:rPr>
          <w:rFonts w:hint="default" w:ascii="Times New Roman" w:hAnsi="Times New Roman" w:cs="Times New Roman"/>
        </w:rPr>
      </w:pPr>
      <w:r>
        <w:rPr>
          <w:rFonts w:hint="default" w:ascii="Times New Roman" w:hAnsi="Times New Roman" w:cs="Times New Roman"/>
        </w:rPr>
        <w:t>经调查核实，工程共计完成水土流失治理面积</w:t>
      </w:r>
      <w:r>
        <w:rPr>
          <w:rFonts w:hint="default" w:ascii="Times New Roman" w:hAnsi="Times New Roman" w:cs="Times New Roman"/>
          <w:lang w:val="en-US" w:eastAsia="zh-CN"/>
        </w:rPr>
        <w:t>1.34</w:t>
      </w:r>
      <w:r>
        <w:rPr>
          <w:rFonts w:hint="default" w:ascii="Times New Roman" w:hAnsi="Times New Roman" w:cs="Times New Roman"/>
        </w:rPr>
        <w:t>hm</w:t>
      </w:r>
      <w:r>
        <w:rPr>
          <w:rFonts w:hint="default" w:ascii="Times New Roman" w:hAnsi="Times New Roman" w:cs="Times New Roman"/>
          <w:vertAlign w:val="superscript"/>
        </w:rPr>
        <w:t>2</w:t>
      </w:r>
      <w:r>
        <w:rPr>
          <w:rFonts w:hint="default" w:ascii="Times New Roman" w:hAnsi="Times New Roman" w:cs="Times New Roman"/>
        </w:rPr>
        <w:t>，建设区水土流失总面积</w:t>
      </w:r>
      <w:r>
        <w:rPr>
          <w:rFonts w:hint="default" w:ascii="Times New Roman" w:hAnsi="Times New Roman" w:cs="Times New Roman"/>
          <w:lang w:val="en-US" w:eastAsia="zh-CN"/>
        </w:rPr>
        <w:t>1.34</w:t>
      </w:r>
      <w:r>
        <w:rPr>
          <w:rFonts w:hint="default" w:ascii="Times New Roman" w:hAnsi="Times New Roman" w:cs="Times New Roman"/>
        </w:rPr>
        <w:t>hm</w:t>
      </w:r>
      <w:r>
        <w:rPr>
          <w:rFonts w:hint="default" w:ascii="Times New Roman" w:hAnsi="Times New Roman" w:cs="Times New Roman"/>
          <w:vertAlign w:val="superscript"/>
        </w:rPr>
        <w:t>2</w:t>
      </w:r>
      <w:r>
        <w:rPr>
          <w:rFonts w:hint="default" w:ascii="Times New Roman" w:hAnsi="Times New Roman" w:cs="Times New Roman"/>
        </w:rPr>
        <w:t>，平均水土流失总治理度为</w:t>
      </w:r>
      <w:r>
        <w:rPr>
          <w:rFonts w:hint="default" w:ascii="Times New Roman" w:hAnsi="Times New Roman" w:cs="Times New Roman"/>
          <w:lang w:val="en-US" w:eastAsia="zh-CN"/>
        </w:rPr>
        <w:t>100</w:t>
      </w:r>
      <w:r>
        <w:rPr>
          <w:rFonts w:hint="default" w:ascii="Times New Roman" w:hAnsi="Times New Roman" w:cs="Times New Roman"/>
        </w:rPr>
        <w:t>%。</w:t>
      </w:r>
    </w:p>
    <w:p>
      <w:pPr>
        <w:pStyle w:val="4"/>
        <w:rPr>
          <w:rFonts w:hint="default" w:ascii="Times New Roman" w:hAnsi="Times New Roman" w:cs="Times New Roman"/>
        </w:rPr>
      </w:pPr>
      <w:bookmarkStart w:id="59" w:name="_Toc496171472"/>
      <w:r>
        <w:rPr>
          <w:rFonts w:hint="default" w:ascii="Times New Roman" w:hAnsi="Times New Roman" w:cs="Times New Roman"/>
        </w:rPr>
        <w:t>5.1.3水土流失控制情况</w:t>
      </w:r>
      <w:bookmarkEnd w:id="59"/>
    </w:p>
    <w:p>
      <w:pPr>
        <w:pStyle w:val="440"/>
        <w:ind w:firstLine="480"/>
        <w:rPr>
          <w:rFonts w:hint="default" w:ascii="Times New Roman" w:hAnsi="Times New Roman" w:cs="Times New Roman"/>
        </w:rPr>
      </w:pPr>
      <w:r>
        <w:rPr>
          <w:rFonts w:hint="default" w:ascii="Times New Roman" w:hAnsi="Times New Roman" w:cs="Times New Roman"/>
        </w:rPr>
        <w:t>项目建设区范围内容许土壤流失量与方案实施后的土壤侵蚀强度之比。项目区土壤侵蚀类型以水力侵蚀为主，按侵蚀类型区划分属于西南土石山区，其土壤容许流失量为500t/km</w:t>
      </w:r>
      <w:r>
        <w:rPr>
          <w:rFonts w:hint="default" w:ascii="Times New Roman" w:hAnsi="Times New Roman" w:cs="Times New Roman"/>
          <w:vertAlign w:val="superscript"/>
        </w:rPr>
        <w:t>2</w:t>
      </w:r>
      <w:r>
        <w:rPr>
          <w:rFonts w:hint="default" w:ascii="Times New Roman" w:hAnsi="Times New Roman" w:cs="Times New Roman"/>
        </w:rPr>
        <w:t>·a。</w:t>
      </w:r>
    </w:p>
    <w:p>
      <w:pPr>
        <w:pStyle w:val="440"/>
        <w:ind w:firstLine="480"/>
        <w:rPr>
          <w:rFonts w:hint="default" w:ascii="Times New Roman" w:hAnsi="Times New Roman" w:cs="Times New Roman"/>
        </w:rPr>
      </w:pPr>
      <w:r>
        <w:rPr>
          <w:rFonts w:hint="default" w:ascii="Times New Roman" w:hAnsi="Times New Roman" w:cs="Times New Roman"/>
        </w:rPr>
        <w:t>由于建设单位对水土保持工作的重视，依据水利部批复的水土保持方案，实施了一系列的水土保持工程和植物措施，加强林草植被建设，使项目区平均的侵蚀模数有较大幅度降低，水土流失情况较原地貌有明显好转。防治措施逐步实施完毕后初步发挥效益，土壤流失控制比达到了</w:t>
      </w:r>
      <w:r>
        <w:rPr>
          <w:rFonts w:hint="default" w:ascii="Times New Roman" w:hAnsi="Times New Roman" w:cs="Times New Roman"/>
          <w:lang w:val="en-US" w:eastAsia="zh-CN"/>
        </w:rPr>
        <w:t>1.0</w:t>
      </w:r>
      <w:r>
        <w:rPr>
          <w:rFonts w:hint="default" w:ascii="Times New Roman" w:hAnsi="Times New Roman" w:cs="Times New Roman"/>
        </w:rPr>
        <w:t>。</w:t>
      </w:r>
    </w:p>
    <w:p>
      <w:pPr>
        <w:pStyle w:val="4"/>
        <w:rPr>
          <w:rFonts w:hint="default" w:ascii="Times New Roman" w:hAnsi="Times New Roman" w:cs="Times New Roman"/>
        </w:rPr>
      </w:pPr>
      <w:bookmarkStart w:id="60" w:name="_Toc496171473"/>
      <w:r>
        <w:rPr>
          <w:rFonts w:hint="default" w:ascii="Times New Roman" w:hAnsi="Times New Roman" w:cs="Times New Roman"/>
        </w:rPr>
        <w:t>5.1.4弃土治理情况</w:t>
      </w:r>
      <w:bookmarkEnd w:id="60"/>
    </w:p>
    <w:p>
      <w:pPr>
        <w:pStyle w:val="440"/>
        <w:ind w:left="0" w:leftChars="0" w:firstLine="480" w:firstLineChars="200"/>
        <w:rPr>
          <w:rFonts w:hint="default" w:ascii="Times New Roman" w:hAnsi="Times New Roman" w:cs="Times New Roman"/>
        </w:rPr>
      </w:pPr>
      <w:r>
        <w:rPr>
          <w:rFonts w:hint="default" w:ascii="Times New Roman" w:hAnsi="Times New Roman" w:cs="Times New Roman"/>
        </w:rPr>
        <w:t xml:space="preserve">经土石方平衡分析，本工程总土石方开挖共 29086.2m </w:t>
      </w:r>
      <w:r>
        <w:rPr>
          <w:rFonts w:hint="default" w:ascii="Times New Roman" w:hAnsi="Times New Roman" w:cs="Times New Roman"/>
          <w:vertAlign w:val="superscript"/>
        </w:rPr>
        <w:t xml:space="preserve">3 </w:t>
      </w:r>
      <w:r>
        <w:rPr>
          <w:rFonts w:hint="default" w:ascii="Times New Roman" w:hAnsi="Times New Roman" w:cs="Times New Roman"/>
        </w:rPr>
        <w:t xml:space="preserve">(自然方，下同)，其中包括剥离表土 3675.0 m </w:t>
      </w:r>
      <w:r>
        <w:rPr>
          <w:rFonts w:hint="default" w:ascii="Times New Roman" w:hAnsi="Times New Roman" w:cs="Times New Roman"/>
          <w:vertAlign w:val="superscript"/>
        </w:rPr>
        <w:t>3</w:t>
      </w:r>
      <w:r>
        <w:rPr>
          <w:rFonts w:hint="default" w:ascii="Times New Roman" w:hAnsi="Times New Roman" w:cs="Times New Roman"/>
        </w:rPr>
        <w:t xml:space="preserve"> ，工程土石方回填及利用 6824.3m </w:t>
      </w:r>
      <w:r>
        <w:rPr>
          <w:rFonts w:hint="default" w:ascii="Times New Roman" w:hAnsi="Times New Roman" w:cs="Times New Roman"/>
          <w:vertAlign w:val="superscript"/>
        </w:rPr>
        <w:t>3</w:t>
      </w:r>
      <w:r>
        <w:rPr>
          <w:rFonts w:hint="default" w:ascii="Times New Roman" w:hAnsi="Times New Roman" w:cs="Times New Roman"/>
        </w:rPr>
        <w:t xml:space="preserve"> ，其中包括剥离表土</w:t>
      </w:r>
    </w:p>
    <w:p>
      <w:pPr>
        <w:pStyle w:val="440"/>
        <w:ind w:left="0" w:leftChars="0" w:firstLine="0" w:firstLineChars="0"/>
        <w:rPr>
          <w:rFonts w:hint="default" w:ascii="Times New Roman" w:hAnsi="Times New Roman" w:cs="Times New Roman"/>
          <w:lang w:val="zh-CN"/>
        </w:rPr>
      </w:pPr>
      <w:r>
        <w:rPr>
          <w:rFonts w:hint="default" w:ascii="Times New Roman" w:hAnsi="Times New Roman" w:cs="Times New Roman"/>
        </w:rPr>
        <w:t xml:space="preserve">3675.0m </w:t>
      </w:r>
      <w:r>
        <w:rPr>
          <w:rFonts w:hint="default" w:ascii="Times New Roman" w:hAnsi="Times New Roman" w:cs="Times New Roman"/>
          <w:vertAlign w:val="superscript"/>
        </w:rPr>
        <w:t>3</w:t>
      </w:r>
      <w:r>
        <w:rPr>
          <w:rFonts w:hint="default" w:ascii="Times New Roman" w:hAnsi="Times New Roman" w:cs="Times New Roman"/>
        </w:rPr>
        <w:t xml:space="preserve"> ，弃方量（无剥离表土）为 22261.9 m </w:t>
      </w:r>
      <w:r>
        <w:rPr>
          <w:rFonts w:hint="default" w:ascii="Times New Roman" w:hAnsi="Times New Roman" w:cs="Times New Roman"/>
          <w:vertAlign w:val="superscript"/>
        </w:rPr>
        <w:t>3</w:t>
      </w:r>
      <w:r>
        <w:rPr>
          <w:rFonts w:hint="default" w:ascii="Times New Roman" w:hAnsi="Times New Roman" w:cs="Times New Roman"/>
        </w:rPr>
        <w:t xml:space="preserve"> 。本工程在实施过程中产生的临时未利用的土石方由四川中奇建筑工程有限公司运送至江阳区绕城环线规划绿地区进行处置。运输过程中要求采取对车辆运输的弃土进行遮盖，江阳区绕城环线规划绿地区的环境保护、水土保持、排水设施等一切与弃土场地相关的由四川中奇建筑工程有限公司负责，由江阳区水务局、江阳区城乡环境卫生管理局进行监管。</w:t>
      </w:r>
    </w:p>
    <w:p>
      <w:pPr>
        <w:pStyle w:val="4"/>
        <w:rPr>
          <w:rFonts w:hint="default" w:ascii="Times New Roman" w:hAnsi="Times New Roman" w:cs="Times New Roman"/>
        </w:rPr>
      </w:pPr>
      <w:bookmarkStart w:id="61" w:name="_Toc496171474"/>
      <w:r>
        <w:rPr>
          <w:rFonts w:hint="default" w:ascii="Times New Roman" w:hAnsi="Times New Roman" w:cs="Times New Roman"/>
        </w:rPr>
        <w:t>5.1.5植被恢复情况</w:t>
      </w:r>
      <w:bookmarkEnd w:id="61"/>
    </w:p>
    <w:p>
      <w:pPr>
        <w:pStyle w:val="440"/>
        <w:ind w:firstLine="480"/>
        <w:rPr>
          <w:rFonts w:hint="default" w:ascii="Times New Roman" w:hAnsi="Times New Roman" w:cs="Times New Roman"/>
        </w:rPr>
      </w:pPr>
      <w:r>
        <w:rPr>
          <w:rFonts w:hint="default" w:ascii="Times New Roman" w:hAnsi="Times New Roman" w:cs="Times New Roman"/>
        </w:rPr>
        <w:t>项目建设区范围内林草植被面积占可恢复林草植被（在目前经济、技术条件下适宜于恢复林草植被）面积的百分比。</w:t>
      </w:r>
    </w:p>
    <w:p>
      <w:pPr>
        <w:pStyle w:val="440"/>
        <w:ind w:firstLine="480"/>
        <w:rPr>
          <w:rFonts w:hint="default" w:ascii="Times New Roman" w:hAnsi="Times New Roman" w:cs="Times New Roman"/>
        </w:rPr>
      </w:pPr>
      <w:r>
        <w:rPr>
          <w:rFonts w:hint="default" w:ascii="Times New Roman" w:hAnsi="Times New Roman" w:cs="Times New Roman"/>
        </w:rPr>
        <w:t>林草植被恢复率（%）＝林草植被面积 / 可恢复林草植被面积×100％。</w:t>
      </w:r>
    </w:p>
    <w:p>
      <w:pPr>
        <w:pStyle w:val="440"/>
        <w:ind w:firstLine="480"/>
        <w:rPr>
          <w:rFonts w:hint="default" w:ascii="Times New Roman" w:hAnsi="Times New Roman" w:cs="Times New Roman"/>
        </w:rPr>
      </w:pPr>
      <w:r>
        <w:rPr>
          <w:rFonts w:hint="default" w:ascii="Times New Roman" w:hAnsi="Times New Roman" w:cs="Times New Roman"/>
        </w:rPr>
        <w:t>据调查核实，项目区林草植被面积</w:t>
      </w:r>
      <w:r>
        <w:rPr>
          <w:rFonts w:hint="default" w:ascii="Times New Roman" w:hAnsi="Times New Roman" w:cs="Times New Roman"/>
          <w:lang w:val="en-US" w:eastAsia="zh-CN"/>
        </w:rPr>
        <w:t>0.48</w:t>
      </w:r>
      <w:r>
        <w:rPr>
          <w:rFonts w:hint="default" w:ascii="Times New Roman" w:hAnsi="Times New Roman" w:cs="Times New Roman"/>
        </w:rPr>
        <w:t>hm</w:t>
      </w:r>
      <w:r>
        <w:rPr>
          <w:rFonts w:hint="default" w:ascii="Times New Roman" w:hAnsi="Times New Roman" w:cs="Times New Roman"/>
          <w:vertAlign w:val="superscript"/>
        </w:rPr>
        <w:t>2</w:t>
      </w:r>
      <w:r>
        <w:rPr>
          <w:rFonts w:hint="default" w:ascii="Times New Roman" w:hAnsi="Times New Roman" w:cs="Times New Roman"/>
        </w:rPr>
        <w:t>，可恢复林草植被面积</w:t>
      </w:r>
      <w:r>
        <w:rPr>
          <w:rFonts w:hint="default" w:ascii="Times New Roman" w:hAnsi="Times New Roman" w:cs="Times New Roman"/>
          <w:lang w:val="en-US" w:eastAsia="zh-CN"/>
        </w:rPr>
        <w:t>0.48</w:t>
      </w:r>
      <w:r>
        <w:rPr>
          <w:rFonts w:hint="default" w:ascii="Times New Roman" w:hAnsi="Times New Roman" w:cs="Times New Roman"/>
        </w:rPr>
        <w:t>hm</w:t>
      </w:r>
      <w:r>
        <w:rPr>
          <w:rFonts w:hint="default" w:ascii="Times New Roman" w:hAnsi="Times New Roman" w:cs="Times New Roman"/>
          <w:vertAlign w:val="superscript"/>
        </w:rPr>
        <w:t>2</w:t>
      </w:r>
      <w:r>
        <w:rPr>
          <w:rFonts w:hint="default" w:ascii="Times New Roman" w:hAnsi="Times New Roman" w:cs="Times New Roman"/>
        </w:rPr>
        <w:t>，项目区林草植被恢复率达到100%。</w:t>
      </w:r>
    </w:p>
    <w:p>
      <w:pPr>
        <w:pStyle w:val="4"/>
        <w:rPr>
          <w:rFonts w:hint="default" w:ascii="Times New Roman" w:hAnsi="Times New Roman" w:cs="Times New Roman"/>
        </w:rPr>
      </w:pPr>
      <w:bookmarkStart w:id="62" w:name="_Toc496171475"/>
      <w:r>
        <w:rPr>
          <w:rFonts w:hint="default" w:ascii="Times New Roman" w:hAnsi="Times New Roman" w:cs="Times New Roman"/>
        </w:rPr>
        <w:t>5.1.6林草覆盖度情况</w:t>
      </w:r>
      <w:bookmarkEnd w:id="62"/>
    </w:p>
    <w:p>
      <w:pPr>
        <w:pStyle w:val="440"/>
        <w:ind w:firstLine="480"/>
        <w:rPr>
          <w:rFonts w:hint="default" w:ascii="Times New Roman" w:hAnsi="Times New Roman" w:cs="Times New Roman"/>
        </w:rPr>
      </w:pPr>
      <w:r>
        <w:rPr>
          <w:rFonts w:hint="default" w:ascii="Times New Roman" w:hAnsi="Times New Roman" w:cs="Times New Roman"/>
        </w:rPr>
        <w:t xml:space="preserve">项目建设区范围内的林草植被面积与项目建设区总面积的百分比。 </w:t>
      </w:r>
    </w:p>
    <w:p>
      <w:pPr>
        <w:pStyle w:val="440"/>
        <w:ind w:firstLine="480"/>
        <w:rPr>
          <w:rFonts w:hint="default" w:ascii="Times New Roman" w:hAnsi="Times New Roman" w:cs="Times New Roman"/>
        </w:rPr>
      </w:pPr>
      <w:r>
        <w:rPr>
          <w:rFonts w:hint="default" w:ascii="Times New Roman" w:hAnsi="Times New Roman" w:cs="Times New Roman"/>
        </w:rPr>
        <w:t>林草覆盖率（%）＝林草植被面积 /</w:t>
      </w:r>
      <w:r>
        <w:rPr>
          <w:rFonts w:hint="default" w:ascii="Times New Roman" w:hAnsi="Times New Roman" w:cs="Times New Roman"/>
          <w:b/>
        </w:rPr>
        <w:t xml:space="preserve"> </w:t>
      </w:r>
      <w:r>
        <w:rPr>
          <w:rFonts w:hint="default" w:ascii="Times New Roman" w:hAnsi="Times New Roman" w:cs="Times New Roman"/>
        </w:rPr>
        <w:t xml:space="preserve">项目建设区总面积×100％。 </w:t>
      </w:r>
    </w:p>
    <w:p>
      <w:pPr>
        <w:pStyle w:val="440"/>
        <w:ind w:firstLine="480"/>
        <w:rPr>
          <w:rFonts w:hint="default" w:ascii="Times New Roman" w:hAnsi="Times New Roman" w:cs="Times New Roman"/>
        </w:rPr>
      </w:pPr>
      <w:r>
        <w:rPr>
          <w:rFonts w:hint="default" w:ascii="Times New Roman" w:hAnsi="Times New Roman" w:cs="Times New Roman"/>
        </w:rPr>
        <w:t>据调查核实，林草植被面积</w:t>
      </w:r>
      <w:r>
        <w:rPr>
          <w:rFonts w:hint="default" w:ascii="Times New Roman" w:hAnsi="Times New Roman" w:cs="Times New Roman"/>
          <w:lang w:val="en-US" w:eastAsia="zh-CN"/>
        </w:rPr>
        <w:t>0.48</w:t>
      </w:r>
      <w:r>
        <w:rPr>
          <w:rFonts w:hint="default" w:ascii="Times New Roman" w:hAnsi="Times New Roman" w:cs="Times New Roman"/>
        </w:rPr>
        <w:t>hm</w:t>
      </w:r>
      <w:r>
        <w:rPr>
          <w:rFonts w:hint="default" w:ascii="Times New Roman" w:hAnsi="Times New Roman" w:cs="Times New Roman"/>
          <w:vertAlign w:val="superscript"/>
        </w:rPr>
        <w:t>2</w:t>
      </w:r>
      <w:r>
        <w:rPr>
          <w:rFonts w:hint="default" w:ascii="Times New Roman" w:hAnsi="Times New Roman" w:cs="Times New Roman"/>
        </w:rPr>
        <w:t>，项目建设区总面积</w:t>
      </w:r>
      <w:r>
        <w:rPr>
          <w:rFonts w:hint="default" w:ascii="Times New Roman" w:hAnsi="Times New Roman" w:cs="Times New Roman"/>
          <w:lang w:val="en-US" w:eastAsia="zh-CN"/>
        </w:rPr>
        <w:t>1.34</w:t>
      </w:r>
      <w:r>
        <w:rPr>
          <w:rFonts w:hint="default" w:ascii="Times New Roman" w:hAnsi="Times New Roman" w:cs="Times New Roman"/>
        </w:rPr>
        <w:t>hm</w:t>
      </w:r>
      <w:r>
        <w:rPr>
          <w:rFonts w:hint="default" w:ascii="Times New Roman" w:hAnsi="Times New Roman" w:cs="Times New Roman"/>
          <w:vertAlign w:val="superscript"/>
        </w:rPr>
        <w:t>2</w:t>
      </w:r>
      <w:r>
        <w:rPr>
          <w:rFonts w:hint="default" w:ascii="Times New Roman" w:hAnsi="Times New Roman" w:cs="Times New Roman"/>
        </w:rPr>
        <w:t>，项目区林草覆盖度达到</w:t>
      </w:r>
      <w:r>
        <w:rPr>
          <w:rFonts w:hint="default" w:ascii="Times New Roman" w:hAnsi="Times New Roman" w:cs="Times New Roman"/>
          <w:lang w:val="en-US" w:eastAsia="zh-CN"/>
        </w:rPr>
        <w:t>35.5</w:t>
      </w:r>
      <w:r>
        <w:rPr>
          <w:rFonts w:hint="default" w:ascii="Times New Roman" w:hAnsi="Times New Roman" w:cs="Times New Roman"/>
        </w:rPr>
        <w:t>%。</w:t>
      </w:r>
    </w:p>
    <w:p>
      <w:pPr>
        <w:pStyle w:val="3"/>
        <w:rPr>
          <w:rFonts w:hint="default" w:ascii="Times New Roman" w:hAnsi="Times New Roman" w:cs="Times New Roman"/>
        </w:rPr>
      </w:pPr>
      <w:bookmarkStart w:id="63" w:name="_Toc502049590"/>
      <w:r>
        <w:rPr>
          <w:rFonts w:hint="default" w:ascii="Times New Roman" w:hAnsi="Times New Roman" w:cs="Times New Roman"/>
        </w:rPr>
        <w:t>5.3公众满意度调查</w:t>
      </w:r>
      <w:bookmarkEnd w:id="63"/>
    </w:p>
    <w:p>
      <w:pPr>
        <w:pStyle w:val="440"/>
        <w:ind w:firstLine="480"/>
        <w:rPr>
          <w:rFonts w:hint="default" w:ascii="Times New Roman" w:hAnsi="Times New Roman" w:cs="Times New Roman"/>
        </w:rPr>
      </w:pPr>
      <w:r>
        <w:rPr>
          <w:rFonts w:hint="default" w:ascii="Times New Roman" w:hAnsi="Times New Roman" w:cs="Times New Roman"/>
        </w:rPr>
        <w:t>通过向项目所在地附近村民及相关群众调查问询，公众对于项目水土流失治理效果整体满意。</w:t>
      </w:r>
    </w:p>
    <w:p>
      <w:pPr>
        <w:pStyle w:val="440"/>
        <w:ind w:firstLine="480"/>
        <w:rPr>
          <w:rFonts w:hint="default" w:ascii="Times New Roman" w:hAnsi="Times New Roman" w:cs="Times New Roman"/>
        </w:rPr>
        <w:sectPr>
          <w:pgSz w:w="11906" w:h="16838"/>
          <w:pgMar w:top="1440" w:right="1440" w:bottom="1440" w:left="1701" w:header="851" w:footer="992" w:gutter="0"/>
          <w:cols w:space="425" w:num="1"/>
          <w:docGrid w:linePitch="312" w:charSpace="0"/>
        </w:sectPr>
      </w:pPr>
    </w:p>
    <w:p>
      <w:pPr>
        <w:pStyle w:val="2"/>
        <w:rPr>
          <w:rFonts w:hint="default" w:ascii="Times New Roman" w:hAnsi="Times New Roman" w:cs="Times New Roman"/>
        </w:rPr>
      </w:pPr>
      <w:bookmarkStart w:id="64" w:name="_Toc502049591"/>
      <w:r>
        <w:rPr>
          <w:rFonts w:hint="default" w:ascii="Times New Roman" w:hAnsi="Times New Roman" w:cs="Times New Roman"/>
        </w:rPr>
        <w:t>6水土保持管理</w:t>
      </w:r>
      <w:bookmarkEnd w:id="64"/>
    </w:p>
    <w:p>
      <w:pPr>
        <w:pStyle w:val="3"/>
        <w:rPr>
          <w:rFonts w:hint="default" w:ascii="Times New Roman" w:hAnsi="Times New Roman" w:cs="Times New Roman"/>
        </w:rPr>
      </w:pPr>
      <w:bookmarkStart w:id="65" w:name="_Toc502049592"/>
      <w:r>
        <w:rPr>
          <w:rFonts w:hint="default" w:ascii="Times New Roman" w:hAnsi="Times New Roman" w:cs="Times New Roman"/>
        </w:rPr>
        <w:t>6.1组织领导</w:t>
      </w:r>
      <w:bookmarkEnd w:id="65"/>
    </w:p>
    <w:p>
      <w:pPr>
        <w:pStyle w:val="440"/>
        <w:ind w:firstLine="480"/>
        <w:rPr>
          <w:rFonts w:hint="default" w:ascii="Times New Roman" w:hAnsi="Times New Roman" w:cs="Times New Roman"/>
        </w:rPr>
      </w:pPr>
      <w:r>
        <w:rPr>
          <w:rFonts w:hint="default" w:ascii="Times New Roman" w:hAnsi="Times New Roman" w:cs="Times New Roman"/>
        </w:rPr>
        <w:t xml:space="preserve">在本工程建设期间，我单位十分重视水土保持工作，建立了以项目法人责任制，项目法人是水土保持工作的第一责任人。应水土保持工作开展的需要，我单位还成立了水土保持协调领导小组、水土保持工程规划小组、工程部、财务部、组织开展工程水土保持综合治理工作。在工程建设过程中，得到了各级水土保持综合治理工作。在工程建设过程中，得到了各级水土保持管理部门的大力支持和帮助，现场各参建单位职责明确，我单位（泸州鑫盛轻工发展有限公司），建设单位组织实施，监理单位从严督促。 </w:t>
      </w:r>
    </w:p>
    <w:p>
      <w:pPr>
        <w:pStyle w:val="440"/>
        <w:ind w:firstLine="480"/>
        <w:rPr>
          <w:rFonts w:hint="default" w:ascii="Times New Roman" w:hAnsi="Times New Roman" w:cs="Times New Roman"/>
        </w:rPr>
      </w:pPr>
      <w:r>
        <w:rPr>
          <w:rFonts w:hint="default" w:ascii="Times New Roman" w:hAnsi="Times New Roman" w:cs="Times New Roman"/>
        </w:rPr>
        <w:t>本工程建设单位：泸州鑫盛轻工发展有限公司；主体设计单位：</w:t>
      </w:r>
      <w:r>
        <w:rPr>
          <w:rFonts w:hint="default" w:ascii="Times New Roman" w:hAnsi="Times New Roman" w:cs="Times New Roman"/>
          <w:lang w:val="en-US" w:eastAsia="zh-CN"/>
        </w:rPr>
        <w:t>中国华西工程设计建设有限公司</w:t>
      </w:r>
      <w:r>
        <w:rPr>
          <w:rFonts w:hint="default" w:ascii="Times New Roman" w:hAnsi="Times New Roman" w:cs="Times New Roman"/>
        </w:rPr>
        <w:t>；水土保持方案编制单位：</w:t>
      </w:r>
      <w:r>
        <w:rPr>
          <w:rFonts w:hint="default" w:ascii="Times New Roman" w:hAnsi="Times New Roman" w:cs="Times New Roman" w:eastAsiaTheme="minorEastAsia"/>
          <w:kern w:val="2"/>
          <w:sz w:val="24"/>
          <w:szCs w:val="28"/>
          <w:lang w:val="en-US" w:eastAsia="zh-CN" w:bidi="ar-SA"/>
        </w:rPr>
        <w:t>四川金原工程勘察设计有限公司</w:t>
      </w:r>
      <w:r>
        <w:rPr>
          <w:rFonts w:hint="default" w:ascii="Times New Roman" w:hAnsi="Times New Roman" w:cs="Times New Roman"/>
        </w:rPr>
        <w:t>；监测单位</w:t>
      </w:r>
      <w:r>
        <w:rPr>
          <w:rFonts w:hint="default" w:ascii="Times New Roman" w:hAnsi="Times New Roman" w:cs="Times New Roman"/>
          <w:color w:val="auto"/>
        </w:rPr>
        <w:t>：四川省电力设计院；</w:t>
      </w:r>
      <w:r>
        <w:rPr>
          <w:rFonts w:hint="default" w:ascii="Times New Roman" w:hAnsi="Times New Roman" w:cs="Times New Roman"/>
        </w:rPr>
        <w:t>监理单位：四川眉山华能工程技术咨询设计有限公司；施工单位：泸州鑫盛轻工发展有限公司。</w:t>
      </w:r>
    </w:p>
    <w:p>
      <w:pPr>
        <w:pStyle w:val="3"/>
        <w:rPr>
          <w:rFonts w:hint="default" w:ascii="Times New Roman" w:hAnsi="Times New Roman" w:cs="Times New Roman"/>
        </w:rPr>
      </w:pPr>
      <w:bookmarkStart w:id="66" w:name="_Toc502049593"/>
      <w:r>
        <w:rPr>
          <w:rFonts w:hint="default" w:ascii="Times New Roman" w:hAnsi="Times New Roman" w:cs="Times New Roman"/>
        </w:rPr>
        <w:t>6.2规章制度</w:t>
      </w:r>
      <w:bookmarkEnd w:id="66"/>
      <w:r>
        <w:rPr>
          <w:rFonts w:hint="default" w:ascii="Times New Roman" w:hAnsi="Times New Roman" w:cs="Times New Roman"/>
        </w:rPr>
        <w:t xml:space="preserve"> </w:t>
      </w:r>
    </w:p>
    <w:p>
      <w:pPr>
        <w:pStyle w:val="440"/>
        <w:ind w:firstLine="480"/>
        <w:rPr>
          <w:rFonts w:hint="default" w:ascii="Times New Roman" w:hAnsi="Times New Roman" w:cs="Times New Roman"/>
        </w:rPr>
      </w:pPr>
      <w:r>
        <w:rPr>
          <w:rFonts w:hint="default" w:ascii="Times New Roman" w:hAnsi="Times New Roman" w:cs="Times New Roman"/>
        </w:rPr>
        <w:t xml:space="preserve">在本工程施工建设期间，公司建立了以质量管理为核心的一系列规章制度，形成了施工、监理、设计、建设管理单位各尽其职、密切配合的合作关系，并在工程建设工程中给与逐步完善，水土保持工作的也作为基本内容纳入主体工程的管理中。在项目计划合同管理方面，本工程制定了招投标管理、施工管理、财务管理等办法，逐步建立了一整套行之有效的管理制度和体系，依据制度建设和管理体系，避免了人为操作的随意性。在施工质量保证制度和体系方面，本工程则进一步明确了施工检验、检查的具体方法和要求，落实了质量责任，防止建设过程中不规范的行为，从而保证了各项水土保持措施与工程同时设计、同时施工和同时投产使用，使“三同时”原则得到贯彻落实。 </w:t>
      </w:r>
    </w:p>
    <w:p>
      <w:pPr>
        <w:pStyle w:val="3"/>
        <w:rPr>
          <w:rFonts w:hint="default" w:ascii="Times New Roman" w:hAnsi="Times New Roman" w:cs="Times New Roman"/>
        </w:rPr>
      </w:pPr>
      <w:bookmarkStart w:id="67" w:name="_Toc502049594"/>
      <w:r>
        <w:rPr>
          <w:rFonts w:hint="default" w:ascii="Times New Roman" w:hAnsi="Times New Roman" w:cs="Times New Roman"/>
        </w:rPr>
        <w:t>6.3建设管理</w:t>
      </w:r>
      <w:bookmarkEnd w:id="67"/>
    </w:p>
    <w:p>
      <w:pPr>
        <w:pStyle w:val="440"/>
        <w:ind w:firstLine="480"/>
        <w:rPr>
          <w:rFonts w:hint="default" w:ascii="Times New Roman" w:hAnsi="Times New Roman" w:cs="Times New Roman"/>
        </w:rPr>
      </w:pPr>
      <w:r>
        <w:rPr>
          <w:rFonts w:hint="default" w:ascii="Times New Roman" w:hAnsi="Times New Roman" w:cs="Times New Roman"/>
        </w:rPr>
        <w:t xml:space="preserve">为了保证水土保持工程的施工质量和进度，我单位将水土保持的施工材料采购及供应、施工单位招标程序纳入了主体工程管理程序中，实行了“项目法人负责，监理单位控制，承包商保证，政府监督”的质量保证，政府监督“的质量保证体系。施工单位都是具备一定技术、人才、经济实力的企业，自身的质量保证体系完善。监理单位也是具有丰富工程建设监理经验和业绩，能独立承担监理业务的专业咨询机构。 </w:t>
      </w:r>
    </w:p>
    <w:p>
      <w:pPr>
        <w:pStyle w:val="440"/>
        <w:ind w:firstLine="480"/>
        <w:rPr>
          <w:rFonts w:hint="default" w:ascii="Times New Roman" w:hAnsi="Times New Roman" w:cs="Times New Roman"/>
        </w:rPr>
      </w:pPr>
      <w:r>
        <w:rPr>
          <w:rFonts w:hint="default" w:ascii="Times New Roman" w:hAnsi="Times New Roman" w:cs="Times New Roman"/>
        </w:rPr>
        <w:t>在工程建设工程中，建设、设计、施工、监理等各单位严格按照国家规范和本工程建设管理程序，始终将质量、进度、投资控制贯穿到工程建设的各个环节中，收到不错效果。工程建设坚持质量第一，严格按照施工技术规范要求施工，建立严格的质量保证和监督体系，实行质量自控自检、监理单位旁站监理、我单位巡视抽查核实制度，环环紧扣，保障了工程建设的质量。</w:t>
      </w:r>
    </w:p>
    <w:p>
      <w:pPr>
        <w:pStyle w:val="3"/>
        <w:rPr>
          <w:rFonts w:hint="default" w:ascii="Times New Roman" w:hAnsi="Times New Roman" w:cs="Times New Roman"/>
        </w:rPr>
      </w:pPr>
      <w:bookmarkStart w:id="68" w:name="_Toc502049595"/>
      <w:r>
        <w:rPr>
          <w:rFonts w:hint="default" w:ascii="Times New Roman" w:hAnsi="Times New Roman" w:cs="Times New Roman"/>
        </w:rPr>
        <w:t>6.4水土保持监测</w:t>
      </w:r>
      <w:bookmarkEnd w:id="68"/>
    </w:p>
    <w:p>
      <w:pPr>
        <w:pStyle w:val="440"/>
        <w:ind w:firstLine="480"/>
        <w:rPr>
          <w:rFonts w:hint="default" w:ascii="Times New Roman" w:hAnsi="Times New Roman" w:cs="Times New Roman"/>
        </w:rPr>
      </w:pPr>
      <w:r>
        <w:rPr>
          <w:rFonts w:hint="default" w:ascii="Times New Roman" w:hAnsi="Times New Roman" w:cs="Times New Roman"/>
        </w:rPr>
        <w:t>泸州鑫盛轻工发展有限公司</w:t>
      </w:r>
      <w:r>
        <w:rPr>
          <w:rFonts w:hint="default" w:ascii="Times New Roman" w:hAnsi="Times New Roman" w:cs="Times New Roman"/>
          <w:color w:val="auto"/>
        </w:rPr>
        <w:t>委托四川省电力设计院负</w:t>
      </w:r>
      <w:r>
        <w:rPr>
          <w:rFonts w:hint="default" w:ascii="Times New Roman" w:hAnsi="Times New Roman" w:cs="Times New Roman"/>
        </w:rPr>
        <w:t>责</w:t>
      </w:r>
      <w:r>
        <w:rPr>
          <w:rFonts w:hint="default" w:ascii="Times New Roman" w:hAnsi="Times New Roman" w:cs="Times New Roman" w:eastAsiaTheme="minorEastAsia"/>
          <w:color w:val="auto"/>
          <w:kern w:val="2"/>
          <w:sz w:val="24"/>
          <w:szCs w:val="28"/>
          <w:lang w:val="en-US" w:eastAsia="zh-CN" w:bidi="ar-SA"/>
        </w:rPr>
        <w:t>泸州市江阳区蓝田街道重湾（干坝子）安置房建设工程</w:t>
      </w:r>
      <w:r>
        <w:rPr>
          <w:rFonts w:hint="default" w:ascii="Times New Roman" w:hAnsi="Times New Roman" w:cs="Times New Roman"/>
        </w:rPr>
        <w:t>的水土保持监测工作。</w:t>
      </w:r>
    </w:p>
    <w:p>
      <w:pPr>
        <w:pStyle w:val="440"/>
        <w:ind w:firstLine="480"/>
        <w:rPr>
          <w:rFonts w:hint="default" w:ascii="Times New Roman" w:hAnsi="Times New Roman" w:cs="Times New Roman"/>
        </w:rPr>
      </w:pPr>
      <w:r>
        <w:rPr>
          <w:rFonts w:hint="default" w:ascii="Times New Roman" w:hAnsi="Times New Roman" w:cs="Times New Roman"/>
        </w:rPr>
        <w:t>根据监测技术规程和项目建设要求，20</w:t>
      </w:r>
      <w:r>
        <w:rPr>
          <w:rFonts w:hint="default" w:ascii="Times New Roman" w:hAnsi="Times New Roman" w:cs="Times New Roman"/>
          <w:lang w:val="en-US" w:eastAsia="zh-CN"/>
        </w:rPr>
        <w:t>15</w:t>
      </w:r>
      <w:r>
        <w:rPr>
          <w:rFonts w:hint="default" w:ascii="Times New Roman" w:hAnsi="Times New Roman" w:cs="Times New Roman"/>
        </w:rPr>
        <w:t>年</w:t>
      </w:r>
      <w:r>
        <w:rPr>
          <w:rFonts w:hint="default" w:ascii="Times New Roman" w:hAnsi="Times New Roman" w:cs="Times New Roman"/>
          <w:lang w:val="en-US" w:eastAsia="zh-CN"/>
        </w:rPr>
        <w:t>9</w:t>
      </w:r>
      <w:r>
        <w:rPr>
          <w:rFonts w:hint="default" w:ascii="Times New Roman" w:hAnsi="Times New Roman" w:cs="Times New Roman"/>
        </w:rPr>
        <w:t>月，监测单位组织对</w:t>
      </w:r>
      <w:r>
        <w:rPr>
          <w:rFonts w:hint="default" w:ascii="Times New Roman" w:hAnsi="Times New Roman" w:cs="Times New Roman" w:eastAsiaTheme="minorEastAsia"/>
          <w:color w:val="auto"/>
          <w:kern w:val="2"/>
          <w:sz w:val="24"/>
          <w:szCs w:val="28"/>
          <w:lang w:val="en-US" w:eastAsia="zh-CN" w:bidi="ar-SA"/>
        </w:rPr>
        <w:t>泸州市江阳区蓝田街道重湾（干坝子）安置房建设工程</w:t>
      </w:r>
      <w:r>
        <w:rPr>
          <w:rFonts w:hint="default" w:ascii="Times New Roman" w:hAnsi="Times New Roman" w:cs="Times New Roman"/>
        </w:rPr>
        <w:t>的</w:t>
      </w:r>
      <w:r>
        <w:rPr>
          <w:rFonts w:hint="default" w:ascii="Times New Roman" w:hAnsi="Times New Roman" w:cs="Times New Roman"/>
          <w:lang w:val="en-US" w:eastAsia="zh-CN"/>
        </w:rPr>
        <w:t>主体建筑</w:t>
      </w:r>
      <w:r>
        <w:rPr>
          <w:rFonts w:hint="default" w:ascii="Times New Roman" w:hAnsi="Times New Roman" w:cs="Times New Roman"/>
        </w:rPr>
        <w:t>区</w:t>
      </w:r>
      <w:r>
        <w:rPr>
          <w:rFonts w:hint="default" w:ascii="Times New Roman" w:hAnsi="Times New Roman" w:cs="Times New Roman"/>
          <w:lang w:eastAsia="zh-CN"/>
        </w:rPr>
        <w:t>、</w:t>
      </w:r>
      <w:r>
        <w:rPr>
          <w:rFonts w:hint="default" w:ascii="Times New Roman" w:hAnsi="Times New Roman" w:cs="Times New Roman"/>
        </w:rPr>
        <w:t>道路</w:t>
      </w:r>
      <w:r>
        <w:rPr>
          <w:rFonts w:hint="default" w:ascii="Times New Roman" w:hAnsi="Times New Roman" w:cs="Times New Roman"/>
          <w:lang w:val="en-US" w:eastAsia="zh-CN"/>
        </w:rPr>
        <w:t>广</w:t>
      </w:r>
      <w:r>
        <w:rPr>
          <w:rFonts w:hint="default" w:ascii="Times New Roman" w:hAnsi="Times New Roman" w:cs="Times New Roman"/>
        </w:rPr>
        <w:t>场区</w:t>
      </w:r>
      <w:r>
        <w:rPr>
          <w:rFonts w:hint="default" w:ascii="Times New Roman" w:hAnsi="Times New Roman" w:cs="Times New Roman"/>
          <w:lang w:val="en-US" w:eastAsia="zh-CN"/>
        </w:rPr>
        <w:t>以及</w:t>
      </w:r>
      <w:r>
        <w:rPr>
          <w:rFonts w:hint="default" w:ascii="Times New Roman" w:hAnsi="Times New Roman" w:cs="Times New Roman"/>
        </w:rPr>
        <w:t>景观绿化区采取现场查勘量测、GPS定位、摄像、摄影等方式进行了第一次全区调查，初步了解了项目区的水土流失和水土保持情况。按照项目水土保持方案以及现场情况，拟定设置</w:t>
      </w:r>
      <w:r>
        <w:rPr>
          <w:rFonts w:hint="default" w:ascii="Times New Roman" w:hAnsi="Times New Roman" w:cs="Times New Roman"/>
          <w:lang w:val="en-US" w:eastAsia="zh-CN"/>
        </w:rPr>
        <w:t>3</w:t>
      </w:r>
      <w:r>
        <w:rPr>
          <w:rFonts w:hint="default" w:ascii="Times New Roman" w:hAnsi="Times New Roman" w:cs="Times New Roman"/>
        </w:rPr>
        <w:t>个监测点位，位置为：</w:t>
      </w:r>
      <w:r>
        <w:rPr>
          <w:rFonts w:hint="default" w:ascii="Times New Roman" w:hAnsi="Times New Roman" w:cs="Times New Roman"/>
          <w:lang w:val="en-US" w:eastAsia="zh-CN"/>
        </w:rPr>
        <w:t>主体建筑</w:t>
      </w:r>
      <w:r>
        <w:rPr>
          <w:rFonts w:hint="default" w:ascii="Times New Roman" w:hAnsi="Times New Roman" w:cs="Times New Roman"/>
        </w:rPr>
        <w:t>区1</w:t>
      </w:r>
      <w:r>
        <w:rPr>
          <w:rFonts w:hint="default" w:ascii="Times New Roman" w:hAnsi="Times New Roman" w:cs="Times New Roman"/>
          <w:lang w:val="en-US" w:eastAsia="zh-CN"/>
        </w:rPr>
        <w:t>布设</w:t>
      </w:r>
      <w:r>
        <w:rPr>
          <w:rFonts w:hint="default" w:ascii="Times New Roman" w:hAnsi="Times New Roman" w:cs="Times New Roman"/>
        </w:rPr>
        <w:t>个观测点，道路</w:t>
      </w:r>
      <w:r>
        <w:rPr>
          <w:rFonts w:hint="default" w:ascii="Times New Roman" w:hAnsi="Times New Roman" w:cs="Times New Roman"/>
          <w:lang w:val="en-US" w:eastAsia="zh-CN"/>
        </w:rPr>
        <w:t>广</w:t>
      </w:r>
      <w:r>
        <w:rPr>
          <w:rFonts w:hint="default" w:ascii="Times New Roman" w:hAnsi="Times New Roman" w:cs="Times New Roman"/>
        </w:rPr>
        <w:t>场区布设1个观测点</w:t>
      </w:r>
      <w:r>
        <w:rPr>
          <w:rFonts w:hint="default" w:ascii="Times New Roman" w:hAnsi="Times New Roman" w:cs="Times New Roman"/>
          <w:lang w:eastAsia="zh-CN"/>
        </w:rPr>
        <w:t>，</w:t>
      </w:r>
      <w:r>
        <w:rPr>
          <w:rFonts w:hint="default" w:ascii="Times New Roman" w:hAnsi="Times New Roman" w:cs="Times New Roman"/>
        </w:rPr>
        <w:t>景观绿化区</w:t>
      </w:r>
      <w:r>
        <w:rPr>
          <w:rFonts w:hint="default" w:ascii="Times New Roman" w:hAnsi="Times New Roman" w:cs="Times New Roman"/>
          <w:lang w:val="en-US" w:eastAsia="zh-CN"/>
        </w:rPr>
        <w:t>布设1个观测点</w:t>
      </w:r>
      <w:r>
        <w:rPr>
          <w:rFonts w:hint="default" w:ascii="Times New Roman" w:hAnsi="Times New Roman" w:cs="Times New Roman"/>
        </w:rPr>
        <w:t>。根据水土保持监测范围、监测单元划分，结合项目组成，按照代表性、全面性和可行性原则确定本工程水土保持监测点位布置见表6-1。</w:t>
      </w:r>
    </w:p>
    <w:p>
      <w:pPr>
        <w:pStyle w:val="32"/>
        <w:ind w:firstLine="480"/>
        <w:rPr>
          <w:rFonts w:hint="default" w:ascii="Times New Roman" w:hAnsi="Times New Roman" w:cs="Times New Roman"/>
        </w:rPr>
      </w:pPr>
      <w:r>
        <w:rPr>
          <w:rFonts w:hint="default" w:ascii="Times New Roman" w:hAnsi="Times New Roman" w:cs="Times New Roman"/>
        </w:rPr>
        <w:t>表6-1  监测点位置布设表</w:t>
      </w:r>
    </w:p>
    <w:tbl>
      <w:tblPr>
        <w:tblStyle w:val="46"/>
        <w:tblW w:w="8529"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941"/>
        <w:gridCol w:w="1995"/>
        <w:gridCol w:w="2824"/>
        <w:gridCol w:w="176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941" w:type="dxa"/>
            <w:vMerge w:val="restart"/>
            <w:vAlign w:val="center"/>
          </w:tcPr>
          <w:p>
            <w:pPr>
              <w:pStyle w:val="158"/>
              <w:rPr>
                <w:rFonts w:hint="default" w:ascii="Times New Roman" w:hAnsi="Times New Roman" w:cs="Times New Roman"/>
              </w:rPr>
            </w:pPr>
            <w:r>
              <w:rPr>
                <w:rFonts w:hint="default" w:ascii="Times New Roman" w:hAnsi="Times New Roman" w:cs="Times New Roman"/>
              </w:rPr>
              <w:t>监测分区</w:t>
            </w:r>
          </w:p>
        </w:tc>
        <w:tc>
          <w:tcPr>
            <w:tcW w:w="1995" w:type="dxa"/>
            <w:vMerge w:val="restart"/>
            <w:vAlign w:val="center"/>
          </w:tcPr>
          <w:p>
            <w:pPr>
              <w:pStyle w:val="158"/>
              <w:rPr>
                <w:rFonts w:hint="default" w:ascii="Times New Roman" w:hAnsi="Times New Roman" w:cs="Times New Roman"/>
              </w:rPr>
            </w:pPr>
            <w:r>
              <w:rPr>
                <w:rFonts w:hint="default" w:ascii="Times New Roman" w:hAnsi="Times New Roman" w:cs="Times New Roman"/>
              </w:rPr>
              <w:t>点位个数</w:t>
            </w:r>
          </w:p>
        </w:tc>
        <w:tc>
          <w:tcPr>
            <w:tcW w:w="4593" w:type="dxa"/>
            <w:gridSpan w:val="2"/>
            <w:vAlign w:val="center"/>
          </w:tcPr>
          <w:p>
            <w:pPr>
              <w:pStyle w:val="158"/>
              <w:rPr>
                <w:rFonts w:hint="default" w:ascii="Times New Roman" w:hAnsi="Times New Roman" w:cs="Times New Roman"/>
              </w:rPr>
            </w:pPr>
            <w:r>
              <w:rPr>
                <w:rFonts w:hint="default" w:ascii="Times New Roman" w:hAnsi="Times New Roman" w:cs="Times New Roman"/>
              </w:rPr>
              <w:t>各时段监测点类型</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941" w:type="dxa"/>
            <w:vMerge w:val="continue"/>
            <w:vAlign w:val="center"/>
          </w:tcPr>
          <w:p>
            <w:pPr>
              <w:pStyle w:val="158"/>
              <w:rPr>
                <w:rFonts w:hint="default" w:ascii="Times New Roman" w:hAnsi="Times New Roman" w:cs="Times New Roman"/>
              </w:rPr>
            </w:pPr>
          </w:p>
        </w:tc>
        <w:tc>
          <w:tcPr>
            <w:tcW w:w="1995" w:type="dxa"/>
            <w:vMerge w:val="continue"/>
            <w:vAlign w:val="center"/>
          </w:tcPr>
          <w:p>
            <w:pPr>
              <w:pStyle w:val="158"/>
              <w:rPr>
                <w:rFonts w:hint="default" w:ascii="Times New Roman" w:hAnsi="Times New Roman" w:cs="Times New Roman"/>
              </w:rPr>
            </w:pPr>
          </w:p>
        </w:tc>
        <w:tc>
          <w:tcPr>
            <w:tcW w:w="2824" w:type="dxa"/>
            <w:vAlign w:val="center"/>
          </w:tcPr>
          <w:p>
            <w:pPr>
              <w:pStyle w:val="158"/>
              <w:rPr>
                <w:rFonts w:hint="default" w:ascii="Times New Roman" w:hAnsi="Times New Roman" w:cs="Times New Roman"/>
              </w:rPr>
            </w:pPr>
            <w:r>
              <w:rPr>
                <w:rFonts w:hint="default" w:ascii="Times New Roman" w:hAnsi="Times New Roman" w:cs="Times New Roman"/>
              </w:rPr>
              <w:t>施工期</w:t>
            </w:r>
          </w:p>
        </w:tc>
        <w:tc>
          <w:tcPr>
            <w:tcW w:w="1769" w:type="dxa"/>
            <w:vAlign w:val="center"/>
          </w:tcPr>
          <w:p>
            <w:pPr>
              <w:pStyle w:val="158"/>
              <w:rPr>
                <w:rFonts w:hint="default" w:ascii="Times New Roman" w:hAnsi="Times New Roman" w:cs="Times New Roman"/>
              </w:rPr>
            </w:pPr>
            <w:r>
              <w:rPr>
                <w:rFonts w:hint="default" w:ascii="Times New Roman" w:hAnsi="Times New Roman" w:cs="Times New Roman"/>
              </w:rPr>
              <w:t>自然恢复期</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88" w:hRule="atLeast"/>
          <w:jc w:val="center"/>
        </w:trPr>
        <w:tc>
          <w:tcPr>
            <w:tcW w:w="1941" w:type="dxa"/>
            <w:vAlign w:val="center"/>
          </w:tcPr>
          <w:p>
            <w:pPr>
              <w:pStyle w:val="158"/>
              <w:rPr>
                <w:rFonts w:hint="default" w:ascii="Times New Roman" w:hAnsi="Times New Roman" w:cs="Times New Roman"/>
              </w:rPr>
            </w:pPr>
            <w:r>
              <w:rPr>
                <w:rFonts w:hint="default" w:ascii="Times New Roman" w:hAnsi="Times New Roman" w:cs="Times New Roman"/>
                <w:lang w:val="en-US" w:eastAsia="zh-CN"/>
              </w:rPr>
              <w:t>主体建筑</w:t>
            </w:r>
            <w:r>
              <w:rPr>
                <w:rFonts w:hint="default" w:ascii="Times New Roman" w:hAnsi="Times New Roman" w:cs="Times New Roman"/>
              </w:rPr>
              <w:t>区</w:t>
            </w:r>
          </w:p>
        </w:tc>
        <w:tc>
          <w:tcPr>
            <w:tcW w:w="1995" w:type="dxa"/>
            <w:vAlign w:val="center"/>
          </w:tcPr>
          <w:p>
            <w:pPr>
              <w:pStyle w:val="158"/>
              <w:rPr>
                <w:rFonts w:hint="default" w:ascii="Times New Roman" w:hAnsi="Times New Roman" w:cs="Times New Roman"/>
              </w:rPr>
            </w:pPr>
            <w:r>
              <w:rPr>
                <w:rFonts w:hint="default" w:ascii="Times New Roman" w:hAnsi="Times New Roman" w:cs="Times New Roman"/>
              </w:rPr>
              <w:t>1</w:t>
            </w:r>
          </w:p>
        </w:tc>
        <w:tc>
          <w:tcPr>
            <w:tcW w:w="2824" w:type="dxa"/>
            <w:vAlign w:val="center"/>
          </w:tcPr>
          <w:p>
            <w:pPr>
              <w:pStyle w:val="158"/>
              <w:rPr>
                <w:rFonts w:hint="default" w:ascii="Times New Roman" w:hAnsi="Times New Roman" w:cs="Times New Roman"/>
              </w:rPr>
            </w:pPr>
            <w:r>
              <w:rPr>
                <w:rFonts w:hint="default" w:ascii="Times New Roman" w:hAnsi="Times New Roman" w:cs="Times New Roman"/>
              </w:rPr>
              <w:t>观测点</w:t>
            </w:r>
          </w:p>
        </w:tc>
        <w:tc>
          <w:tcPr>
            <w:tcW w:w="1769" w:type="dxa"/>
            <w:vAlign w:val="center"/>
          </w:tcPr>
          <w:p>
            <w:pPr>
              <w:pStyle w:val="158"/>
              <w:rPr>
                <w:rFonts w:hint="default" w:ascii="Times New Roman" w:hAnsi="Times New Roman" w:cs="Times New Roman"/>
              </w:rPr>
            </w:pPr>
            <w:r>
              <w:rPr>
                <w:rFonts w:hint="default" w:ascii="Times New Roman" w:hAnsi="Times New Roman" w:cs="Times New Roman"/>
              </w:rPr>
              <w:t>巡查点</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06" w:hRule="atLeast"/>
          <w:jc w:val="center"/>
        </w:trPr>
        <w:tc>
          <w:tcPr>
            <w:tcW w:w="1941" w:type="dxa"/>
            <w:vAlign w:val="center"/>
          </w:tcPr>
          <w:p>
            <w:pPr>
              <w:pStyle w:val="158"/>
              <w:rPr>
                <w:rFonts w:hint="default" w:ascii="Times New Roman" w:hAnsi="Times New Roman" w:cs="Times New Roman"/>
              </w:rPr>
            </w:pPr>
            <w:r>
              <w:rPr>
                <w:rFonts w:hint="default" w:ascii="Times New Roman" w:hAnsi="Times New Roman" w:cs="Times New Roman"/>
              </w:rPr>
              <w:t>道路</w:t>
            </w:r>
            <w:r>
              <w:rPr>
                <w:rFonts w:hint="default" w:ascii="Times New Roman" w:hAnsi="Times New Roman" w:cs="Times New Roman"/>
                <w:lang w:val="en-US" w:eastAsia="zh-CN"/>
              </w:rPr>
              <w:t>广</w:t>
            </w:r>
            <w:r>
              <w:rPr>
                <w:rFonts w:hint="default" w:ascii="Times New Roman" w:hAnsi="Times New Roman" w:cs="Times New Roman"/>
              </w:rPr>
              <w:t>场区</w:t>
            </w:r>
          </w:p>
        </w:tc>
        <w:tc>
          <w:tcPr>
            <w:tcW w:w="1995" w:type="dxa"/>
            <w:vAlign w:val="center"/>
          </w:tcPr>
          <w:p>
            <w:pPr>
              <w:pStyle w:val="158"/>
              <w:rPr>
                <w:rFonts w:hint="default" w:ascii="Times New Roman" w:hAnsi="Times New Roman" w:cs="Times New Roman"/>
              </w:rPr>
            </w:pPr>
            <w:r>
              <w:rPr>
                <w:rFonts w:hint="default" w:ascii="Times New Roman" w:hAnsi="Times New Roman" w:cs="Times New Roman"/>
              </w:rPr>
              <w:t>1</w:t>
            </w:r>
          </w:p>
        </w:tc>
        <w:tc>
          <w:tcPr>
            <w:tcW w:w="2824" w:type="dxa"/>
            <w:vAlign w:val="center"/>
          </w:tcPr>
          <w:p>
            <w:pPr>
              <w:pStyle w:val="158"/>
              <w:rPr>
                <w:rFonts w:hint="default" w:ascii="Times New Roman" w:hAnsi="Times New Roman" w:cs="Times New Roman"/>
              </w:rPr>
            </w:pPr>
            <w:r>
              <w:rPr>
                <w:rFonts w:hint="default" w:ascii="Times New Roman" w:hAnsi="Times New Roman" w:cs="Times New Roman"/>
              </w:rPr>
              <w:t>观测点</w:t>
            </w:r>
          </w:p>
        </w:tc>
        <w:tc>
          <w:tcPr>
            <w:tcW w:w="1769" w:type="dxa"/>
            <w:vAlign w:val="center"/>
          </w:tcPr>
          <w:p>
            <w:pPr>
              <w:pStyle w:val="158"/>
              <w:rPr>
                <w:rFonts w:hint="default" w:ascii="Times New Roman" w:hAnsi="Times New Roman" w:cs="Times New Roman"/>
              </w:rPr>
            </w:pPr>
            <w:r>
              <w:rPr>
                <w:rFonts w:hint="default" w:ascii="Times New Roman" w:hAnsi="Times New Roman" w:cs="Times New Roman"/>
              </w:rPr>
              <w:t>巡查点</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06" w:hRule="atLeast"/>
          <w:jc w:val="center"/>
        </w:trPr>
        <w:tc>
          <w:tcPr>
            <w:tcW w:w="1941" w:type="dxa"/>
            <w:vAlign w:val="center"/>
          </w:tcPr>
          <w:p>
            <w:pPr>
              <w:pStyle w:val="158"/>
              <w:rPr>
                <w:rFonts w:hint="default" w:ascii="Times New Roman" w:hAnsi="Times New Roman" w:cs="Times New Roman"/>
              </w:rPr>
            </w:pPr>
            <w:r>
              <w:rPr>
                <w:rFonts w:hint="default" w:ascii="Times New Roman" w:hAnsi="Times New Roman" w:cs="Times New Roman"/>
              </w:rPr>
              <w:t>景观绿化区</w:t>
            </w:r>
          </w:p>
        </w:tc>
        <w:tc>
          <w:tcPr>
            <w:tcW w:w="1995" w:type="dxa"/>
            <w:vAlign w:val="center"/>
          </w:tcPr>
          <w:p>
            <w:pPr>
              <w:pStyle w:val="158"/>
              <w:rPr>
                <w:rFonts w:hint="default" w:ascii="Times New Roman" w:hAnsi="Times New Roman" w:eastAsia="宋体" w:cs="Times New Roman"/>
                <w:lang w:val="en-US" w:eastAsia="zh-CN"/>
              </w:rPr>
            </w:pPr>
            <w:r>
              <w:rPr>
                <w:rFonts w:hint="default" w:ascii="Times New Roman" w:hAnsi="Times New Roman" w:cs="Times New Roman"/>
                <w:lang w:val="en-US" w:eastAsia="zh-CN"/>
              </w:rPr>
              <w:t>1</w:t>
            </w:r>
          </w:p>
        </w:tc>
        <w:tc>
          <w:tcPr>
            <w:tcW w:w="2824" w:type="dxa"/>
            <w:vAlign w:val="center"/>
          </w:tcPr>
          <w:p>
            <w:pPr>
              <w:pStyle w:val="158"/>
              <w:rPr>
                <w:rFonts w:hint="default" w:ascii="Times New Roman" w:hAnsi="Times New Roman" w:cs="Times New Roman"/>
              </w:rPr>
            </w:pPr>
            <w:r>
              <w:rPr>
                <w:rFonts w:hint="default" w:ascii="Times New Roman" w:hAnsi="Times New Roman" w:cs="Times New Roman"/>
              </w:rPr>
              <w:t>观测点</w:t>
            </w:r>
          </w:p>
        </w:tc>
        <w:tc>
          <w:tcPr>
            <w:tcW w:w="1769" w:type="dxa"/>
            <w:vAlign w:val="center"/>
          </w:tcPr>
          <w:p>
            <w:pPr>
              <w:pStyle w:val="158"/>
              <w:rPr>
                <w:rFonts w:hint="default" w:ascii="Times New Roman" w:hAnsi="Times New Roman" w:cs="Times New Roman"/>
              </w:rPr>
            </w:pPr>
            <w:r>
              <w:rPr>
                <w:rFonts w:hint="default" w:ascii="Times New Roman" w:hAnsi="Times New Roman" w:cs="Times New Roman"/>
              </w:rPr>
              <w:t>巡查点</w:t>
            </w:r>
          </w:p>
        </w:tc>
      </w:tr>
    </w:tbl>
    <w:p>
      <w:pPr>
        <w:pStyle w:val="440"/>
        <w:ind w:firstLine="480"/>
        <w:rPr>
          <w:rFonts w:hint="default" w:ascii="Times New Roman" w:hAnsi="Times New Roman" w:cs="Times New Roman"/>
        </w:rPr>
      </w:pPr>
      <w:r>
        <w:rPr>
          <w:rFonts w:hint="default" w:ascii="Times New Roman" w:hAnsi="Times New Roman" w:cs="Times New Roman"/>
        </w:rPr>
        <w:t>在实地勘察和分析整理野外调查资料等前期准备工作的基础上，我公司以监测实施计划作为监测工作的技术依据，成立了泸州市江阳区蓝田梨子园安置房建设项目水土保持监测项目组，配备了相应的监测设备，并对监测技术人员开展技术培训，制定了监测工作制度和技术“把关”程序。为统一技术方法，规范化地开展监测工作奠定了基础。</w:t>
      </w:r>
    </w:p>
    <w:p>
      <w:pPr>
        <w:pStyle w:val="440"/>
        <w:ind w:firstLine="480"/>
        <w:rPr>
          <w:rFonts w:hint="default" w:ascii="Times New Roman" w:hAnsi="Times New Roman" w:cs="Times New Roman"/>
        </w:rPr>
      </w:pPr>
      <w:r>
        <w:rPr>
          <w:rFonts w:hint="default" w:ascii="Times New Roman" w:hAnsi="Times New Roman" w:cs="Times New Roman"/>
        </w:rPr>
        <w:t>工程建设期间，监测工作对水土流失量采取选择典型区域调查和有规律的间断性观测的方式，对重点实施片区采取持续观测和调查监测的方式，对非重点实施片区和水土保持效益采取调查监测的方式，对水土保持措施实施数量和质量采取收集资料和调查监测的方式，对水土流失危害采取走访调查的方式。监测期间，项目组就现场实施过程中水土流失监测情况编制监测季报和年报及时报送建设单位和监理人员，对监测成果及时填表统计存档。</w:t>
      </w:r>
    </w:p>
    <w:p>
      <w:pPr>
        <w:pStyle w:val="440"/>
        <w:ind w:firstLine="480"/>
        <w:rPr>
          <w:rFonts w:hint="default" w:ascii="Times New Roman" w:hAnsi="Times New Roman" w:cs="Times New Roman"/>
        </w:rPr>
      </w:pPr>
      <w:r>
        <w:rPr>
          <w:rFonts w:hint="default" w:ascii="Times New Roman" w:hAnsi="Times New Roman" w:cs="Times New Roman"/>
        </w:rPr>
        <w:t>根据《水土保持监测技术规程》（SL277-2002）的规定，监测频次根据不同的施工工序、监测内容分别确定。具体监测时段的水土保持监测内容和方法详见表6-2。</w:t>
      </w:r>
    </w:p>
    <w:p>
      <w:pPr>
        <w:pStyle w:val="32"/>
        <w:rPr>
          <w:rFonts w:hint="default" w:ascii="Times New Roman" w:hAnsi="Times New Roman" w:cs="Times New Roman"/>
        </w:rPr>
      </w:pPr>
      <w:r>
        <w:rPr>
          <w:rFonts w:hint="default" w:ascii="Times New Roman" w:hAnsi="Times New Roman" w:cs="Times New Roman"/>
        </w:rPr>
        <w:t>表6-2 监测时段的水土保持监测内容和方法</w:t>
      </w:r>
    </w:p>
    <w:tbl>
      <w:tblPr>
        <w:tblStyle w:val="46"/>
        <w:tblW w:w="8529" w:type="dxa"/>
        <w:jc w:val="center"/>
        <w:tblInd w:w="0" w:type="dxa"/>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2551"/>
        <w:gridCol w:w="2410"/>
        <w:gridCol w:w="1475"/>
      </w:tblGrid>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17" w:type="dxa"/>
            <w:tcBorders>
              <w:top w:val="single" w:color="auto" w:sz="12" w:space="0"/>
              <w:bottom w:val="single" w:color="auto" w:sz="12" w:space="0"/>
            </w:tcBorders>
            <w:vAlign w:val="center"/>
          </w:tcPr>
          <w:p>
            <w:pPr>
              <w:pStyle w:val="158"/>
              <w:rPr>
                <w:rFonts w:hint="default" w:ascii="Times New Roman" w:hAnsi="Times New Roman" w:cs="Times New Roman"/>
              </w:rPr>
            </w:pPr>
            <w:r>
              <w:rPr>
                <w:rFonts w:hint="default" w:ascii="Times New Roman" w:hAnsi="Times New Roman" w:cs="Times New Roman"/>
              </w:rPr>
              <w:t>监测时期</w:t>
            </w:r>
          </w:p>
        </w:tc>
        <w:tc>
          <w:tcPr>
            <w:tcW w:w="1276" w:type="dxa"/>
            <w:tcBorders>
              <w:top w:val="single" w:color="auto" w:sz="12" w:space="0"/>
              <w:bottom w:val="single" w:color="auto" w:sz="12" w:space="0"/>
            </w:tcBorders>
            <w:vAlign w:val="center"/>
          </w:tcPr>
          <w:p>
            <w:pPr>
              <w:pStyle w:val="158"/>
              <w:rPr>
                <w:rFonts w:hint="default" w:ascii="Times New Roman" w:hAnsi="Times New Roman" w:cs="Times New Roman"/>
              </w:rPr>
            </w:pPr>
            <w:r>
              <w:rPr>
                <w:rFonts w:hint="default" w:ascii="Times New Roman" w:hAnsi="Times New Roman" w:cs="Times New Roman"/>
              </w:rPr>
              <w:t>监测分区</w:t>
            </w:r>
          </w:p>
        </w:tc>
        <w:tc>
          <w:tcPr>
            <w:tcW w:w="2551" w:type="dxa"/>
            <w:tcBorders>
              <w:top w:val="single" w:color="auto" w:sz="12" w:space="0"/>
              <w:bottom w:val="single" w:color="auto" w:sz="12" w:space="0"/>
            </w:tcBorders>
            <w:vAlign w:val="center"/>
          </w:tcPr>
          <w:p>
            <w:pPr>
              <w:pStyle w:val="158"/>
              <w:rPr>
                <w:rFonts w:hint="default" w:ascii="Times New Roman" w:hAnsi="Times New Roman" w:cs="Times New Roman"/>
              </w:rPr>
            </w:pPr>
            <w:r>
              <w:rPr>
                <w:rFonts w:hint="default" w:ascii="Times New Roman" w:hAnsi="Times New Roman" w:cs="Times New Roman"/>
              </w:rPr>
              <w:t>监测内容</w:t>
            </w:r>
          </w:p>
        </w:tc>
        <w:tc>
          <w:tcPr>
            <w:tcW w:w="2410" w:type="dxa"/>
            <w:tcBorders>
              <w:top w:val="single" w:color="auto" w:sz="12" w:space="0"/>
              <w:bottom w:val="single" w:color="auto" w:sz="12" w:space="0"/>
            </w:tcBorders>
            <w:vAlign w:val="center"/>
          </w:tcPr>
          <w:p>
            <w:pPr>
              <w:pStyle w:val="158"/>
              <w:rPr>
                <w:rFonts w:hint="default" w:ascii="Times New Roman" w:hAnsi="Times New Roman" w:cs="Times New Roman"/>
              </w:rPr>
            </w:pPr>
            <w:r>
              <w:rPr>
                <w:rFonts w:hint="default" w:ascii="Times New Roman" w:hAnsi="Times New Roman" w:cs="Times New Roman"/>
              </w:rPr>
              <w:t>监测方法</w:t>
            </w:r>
          </w:p>
        </w:tc>
        <w:tc>
          <w:tcPr>
            <w:tcW w:w="1475" w:type="dxa"/>
            <w:tcBorders>
              <w:top w:val="single" w:color="auto" w:sz="12" w:space="0"/>
              <w:bottom w:val="single" w:color="auto" w:sz="12" w:space="0"/>
            </w:tcBorders>
            <w:vAlign w:val="center"/>
          </w:tcPr>
          <w:p>
            <w:pPr>
              <w:pStyle w:val="158"/>
              <w:rPr>
                <w:rFonts w:hint="default" w:ascii="Times New Roman" w:hAnsi="Times New Roman" w:cs="Times New Roman"/>
              </w:rPr>
            </w:pPr>
            <w:r>
              <w:rPr>
                <w:rFonts w:hint="default" w:ascii="Times New Roman" w:hAnsi="Times New Roman" w:cs="Times New Roman"/>
              </w:rPr>
              <w:t>监测频次</w:t>
            </w:r>
          </w:p>
        </w:tc>
      </w:tr>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17" w:type="dxa"/>
            <w:tcBorders>
              <w:top w:val="single" w:color="auto" w:sz="12" w:space="0"/>
            </w:tcBorders>
            <w:vAlign w:val="center"/>
          </w:tcPr>
          <w:p>
            <w:pPr>
              <w:pStyle w:val="158"/>
              <w:rPr>
                <w:rFonts w:hint="default" w:ascii="Times New Roman" w:hAnsi="Times New Roman" w:cs="Times New Roman"/>
              </w:rPr>
            </w:pPr>
            <w:r>
              <w:rPr>
                <w:rFonts w:hint="default" w:ascii="Times New Roman" w:hAnsi="Times New Roman" w:cs="Times New Roman"/>
              </w:rPr>
              <w:t>准备期</w:t>
            </w:r>
          </w:p>
        </w:tc>
        <w:tc>
          <w:tcPr>
            <w:tcW w:w="1276" w:type="dxa"/>
            <w:tcBorders>
              <w:top w:val="single" w:color="auto" w:sz="12" w:space="0"/>
            </w:tcBorders>
            <w:vAlign w:val="center"/>
          </w:tcPr>
          <w:p>
            <w:pPr>
              <w:pStyle w:val="158"/>
              <w:rPr>
                <w:rFonts w:hint="default" w:ascii="Times New Roman" w:hAnsi="Times New Roman" w:cs="Times New Roman"/>
              </w:rPr>
            </w:pPr>
            <w:r>
              <w:rPr>
                <w:rFonts w:hint="default" w:ascii="Times New Roman" w:hAnsi="Times New Roman" w:cs="Times New Roman"/>
              </w:rPr>
              <w:t>责任范围（</w:t>
            </w:r>
            <w:r>
              <w:rPr>
                <w:rFonts w:hint="default" w:ascii="Times New Roman" w:hAnsi="Times New Roman" w:cs="Times New Roman"/>
                <w:lang w:val="en-US" w:eastAsia="zh-CN"/>
              </w:rPr>
              <w:t>3</w:t>
            </w:r>
            <w:r>
              <w:rPr>
                <w:rFonts w:hint="default" w:ascii="Times New Roman" w:hAnsi="Times New Roman" w:cs="Times New Roman"/>
              </w:rPr>
              <w:t>个分区）</w:t>
            </w:r>
          </w:p>
        </w:tc>
        <w:tc>
          <w:tcPr>
            <w:tcW w:w="2551" w:type="dxa"/>
            <w:tcBorders>
              <w:top w:val="single" w:color="auto" w:sz="12" w:space="0"/>
            </w:tcBorders>
            <w:vAlign w:val="center"/>
          </w:tcPr>
          <w:p>
            <w:pPr>
              <w:pStyle w:val="158"/>
              <w:rPr>
                <w:rFonts w:hint="default" w:ascii="Times New Roman" w:hAnsi="Times New Roman" w:cs="Times New Roman"/>
              </w:rPr>
            </w:pPr>
            <w:r>
              <w:rPr>
                <w:rFonts w:hint="default" w:ascii="Times New Roman" w:hAnsi="Times New Roman" w:cs="Times New Roman"/>
              </w:rPr>
              <w:t>地形地貌、土壤、水土流失强度（背景值）、植被覆盖率等</w:t>
            </w:r>
          </w:p>
        </w:tc>
        <w:tc>
          <w:tcPr>
            <w:tcW w:w="2410" w:type="dxa"/>
            <w:tcBorders>
              <w:top w:val="single" w:color="auto" w:sz="12" w:space="0"/>
            </w:tcBorders>
            <w:vAlign w:val="center"/>
          </w:tcPr>
          <w:p>
            <w:pPr>
              <w:pStyle w:val="158"/>
              <w:rPr>
                <w:rFonts w:hint="default" w:ascii="Times New Roman" w:hAnsi="Times New Roman" w:cs="Times New Roman"/>
              </w:rPr>
            </w:pPr>
            <w:r>
              <w:rPr>
                <w:rFonts w:hint="default" w:ascii="Times New Roman" w:hAnsi="Times New Roman" w:cs="Times New Roman"/>
              </w:rPr>
              <w:t>调查监测</w:t>
            </w:r>
          </w:p>
        </w:tc>
        <w:tc>
          <w:tcPr>
            <w:tcW w:w="1475" w:type="dxa"/>
            <w:tcBorders>
              <w:top w:val="single" w:color="auto" w:sz="12" w:space="0"/>
            </w:tcBorders>
            <w:vAlign w:val="center"/>
          </w:tcPr>
          <w:p>
            <w:pPr>
              <w:pStyle w:val="158"/>
              <w:rPr>
                <w:rFonts w:hint="default" w:ascii="Times New Roman" w:hAnsi="Times New Roman" w:cs="Times New Roman"/>
              </w:rPr>
            </w:pPr>
            <w:r>
              <w:rPr>
                <w:rFonts w:hint="default" w:ascii="Times New Roman" w:hAnsi="Times New Roman" w:cs="Times New Roman"/>
              </w:rPr>
              <w:t>1次</w:t>
            </w:r>
          </w:p>
        </w:tc>
      </w:tr>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817" w:type="dxa"/>
            <w:vMerge w:val="restart"/>
            <w:vAlign w:val="center"/>
          </w:tcPr>
          <w:p>
            <w:pPr>
              <w:pStyle w:val="158"/>
              <w:rPr>
                <w:rFonts w:hint="default" w:ascii="Times New Roman" w:hAnsi="Times New Roman" w:cs="Times New Roman"/>
              </w:rPr>
            </w:pPr>
            <w:r>
              <w:rPr>
                <w:rFonts w:hint="default" w:ascii="Times New Roman" w:hAnsi="Times New Roman" w:cs="Times New Roman"/>
              </w:rPr>
              <w:t>施工期</w:t>
            </w:r>
          </w:p>
        </w:tc>
        <w:tc>
          <w:tcPr>
            <w:tcW w:w="1276" w:type="dxa"/>
            <w:vAlign w:val="center"/>
          </w:tcPr>
          <w:p>
            <w:pPr>
              <w:pStyle w:val="158"/>
              <w:rPr>
                <w:rFonts w:hint="default" w:ascii="Times New Roman" w:hAnsi="Times New Roman" w:cs="Times New Roman"/>
              </w:rPr>
            </w:pPr>
            <w:r>
              <w:rPr>
                <w:rFonts w:hint="default" w:ascii="Times New Roman" w:hAnsi="Times New Roman" w:cs="Times New Roman"/>
                <w:lang w:val="en-US" w:eastAsia="zh-CN"/>
              </w:rPr>
              <w:t>主体建筑</w:t>
            </w:r>
            <w:r>
              <w:rPr>
                <w:rFonts w:hint="default" w:ascii="Times New Roman" w:hAnsi="Times New Roman" w:cs="Times New Roman"/>
              </w:rPr>
              <w:t>区</w:t>
            </w:r>
          </w:p>
        </w:tc>
        <w:tc>
          <w:tcPr>
            <w:tcW w:w="2551" w:type="dxa"/>
            <w:vMerge w:val="restart"/>
            <w:vAlign w:val="center"/>
          </w:tcPr>
          <w:p>
            <w:pPr>
              <w:pStyle w:val="158"/>
              <w:rPr>
                <w:rFonts w:hint="default" w:ascii="Times New Roman" w:hAnsi="Times New Roman" w:cs="Times New Roman"/>
              </w:rPr>
            </w:pPr>
            <w:r>
              <w:rPr>
                <w:rFonts w:hint="default" w:ascii="Times New Roman" w:hAnsi="Times New Roman" w:cs="Times New Roman"/>
              </w:rPr>
              <w:t>水土流失强度、扰动面积、措施实施进度与效果、余土量</w:t>
            </w:r>
          </w:p>
        </w:tc>
        <w:tc>
          <w:tcPr>
            <w:tcW w:w="2410" w:type="dxa"/>
            <w:vMerge w:val="restart"/>
            <w:vAlign w:val="center"/>
          </w:tcPr>
          <w:p>
            <w:pPr>
              <w:pStyle w:val="158"/>
              <w:rPr>
                <w:rFonts w:hint="default" w:ascii="Times New Roman" w:hAnsi="Times New Roman" w:cs="Times New Roman"/>
              </w:rPr>
            </w:pPr>
            <w:r>
              <w:rPr>
                <w:rFonts w:hint="default" w:ascii="Times New Roman" w:hAnsi="Times New Roman" w:cs="Times New Roman"/>
              </w:rPr>
              <w:t>调查监测及巡查监测</w:t>
            </w:r>
          </w:p>
          <w:p>
            <w:pPr>
              <w:pStyle w:val="158"/>
              <w:rPr>
                <w:rFonts w:hint="default" w:ascii="Times New Roman" w:hAnsi="Times New Roman" w:cs="Times New Roman"/>
              </w:rPr>
            </w:pPr>
          </w:p>
        </w:tc>
        <w:tc>
          <w:tcPr>
            <w:tcW w:w="1475" w:type="dxa"/>
            <w:vAlign w:val="center"/>
          </w:tcPr>
          <w:p>
            <w:pPr>
              <w:pStyle w:val="158"/>
              <w:rPr>
                <w:rFonts w:hint="default" w:ascii="Times New Roman" w:hAnsi="Times New Roman" w:cs="Times New Roman"/>
              </w:rPr>
            </w:pPr>
            <w:r>
              <w:rPr>
                <w:rFonts w:hint="default" w:ascii="Times New Roman" w:hAnsi="Times New Roman" w:cs="Times New Roman"/>
              </w:rPr>
              <w:t>每月1次</w:t>
            </w:r>
          </w:p>
        </w:tc>
      </w:tr>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817" w:type="dxa"/>
            <w:vMerge w:val="continue"/>
            <w:vAlign w:val="center"/>
          </w:tcPr>
          <w:p>
            <w:pPr>
              <w:pStyle w:val="158"/>
              <w:rPr>
                <w:rFonts w:hint="default" w:ascii="Times New Roman" w:hAnsi="Times New Roman" w:cs="Times New Roman"/>
              </w:rPr>
            </w:pPr>
          </w:p>
        </w:tc>
        <w:tc>
          <w:tcPr>
            <w:tcW w:w="1276" w:type="dxa"/>
            <w:vAlign w:val="center"/>
          </w:tcPr>
          <w:p>
            <w:pPr>
              <w:pStyle w:val="158"/>
              <w:rPr>
                <w:rFonts w:hint="default" w:ascii="Times New Roman" w:hAnsi="Times New Roman" w:cs="Times New Roman"/>
              </w:rPr>
            </w:pPr>
            <w:r>
              <w:rPr>
                <w:rFonts w:hint="default" w:ascii="Times New Roman" w:hAnsi="Times New Roman" w:cs="Times New Roman"/>
              </w:rPr>
              <w:t>道路</w:t>
            </w:r>
            <w:r>
              <w:rPr>
                <w:rFonts w:hint="default" w:ascii="Times New Roman" w:hAnsi="Times New Roman" w:cs="Times New Roman"/>
                <w:lang w:val="en-US" w:eastAsia="zh-CN"/>
              </w:rPr>
              <w:t>广</w:t>
            </w:r>
            <w:r>
              <w:rPr>
                <w:rFonts w:hint="default" w:ascii="Times New Roman" w:hAnsi="Times New Roman" w:cs="Times New Roman"/>
              </w:rPr>
              <w:t>场区</w:t>
            </w:r>
          </w:p>
        </w:tc>
        <w:tc>
          <w:tcPr>
            <w:tcW w:w="2551" w:type="dxa"/>
            <w:vMerge w:val="continue"/>
            <w:vAlign w:val="center"/>
          </w:tcPr>
          <w:p>
            <w:pPr>
              <w:pStyle w:val="158"/>
              <w:rPr>
                <w:rFonts w:hint="default" w:ascii="Times New Roman" w:hAnsi="Times New Roman" w:cs="Times New Roman"/>
              </w:rPr>
            </w:pPr>
          </w:p>
        </w:tc>
        <w:tc>
          <w:tcPr>
            <w:tcW w:w="2410" w:type="dxa"/>
            <w:vMerge w:val="continue"/>
            <w:vAlign w:val="center"/>
          </w:tcPr>
          <w:p>
            <w:pPr>
              <w:pStyle w:val="158"/>
              <w:rPr>
                <w:rFonts w:hint="default" w:ascii="Times New Roman" w:hAnsi="Times New Roman" w:cs="Times New Roman"/>
              </w:rPr>
            </w:pPr>
          </w:p>
        </w:tc>
        <w:tc>
          <w:tcPr>
            <w:tcW w:w="1475" w:type="dxa"/>
            <w:vAlign w:val="center"/>
          </w:tcPr>
          <w:p>
            <w:pPr>
              <w:pStyle w:val="158"/>
              <w:rPr>
                <w:rFonts w:hint="default" w:ascii="Times New Roman" w:hAnsi="Times New Roman" w:cs="Times New Roman"/>
              </w:rPr>
            </w:pPr>
            <w:r>
              <w:rPr>
                <w:rFonts w:hint="default" w:ascii="Times New Roman" w:hAnsi="Times New Roman" w:cs="Times New Roman"/>
              </w:rPr>
              <w:t>每月1次</w:t>
            </w:r>
          </w:p>
        </w:tc>
      </w:tr>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jc w:val="center"/>
        </w:trPr>
        <w:tc>
          <w:tcPr>
            <w:tcW w:w="817" w:type="dxa"/>
            <w:vMerge w:val="continue"/>
            <w:vAlign w:val="center"/>
          </w:tcPr>
          <w:p>
            <w:pPr>
              <w:pStyle w:val="158"/>
              <w:rPr>
                <w:rFonts w:hint="default" w:ascii="Times New Roman" w:hAnsi="Times New Roman" w:cs="Times New Roman"/>
              </w:rPr>
            </w:pPr>
          </w:p>
        </w:tc>
        <w:tc>
          <w:tcPr>
            <w:tcW w:w="1276" w:type="dxa"/>
            <w:vAlign w:val="center"/>
          </w:tcPr>
          <w:p>
            <w:pPr>
              <w:pStyle w:val="158"/>
              <w:rPr>
                <w:rFonts w:hint="default" w:ascii="Times New Roman" w:hAnsi="Times New Roman" w:cs="Times New Roman"/>
              </w:rPr>
            </w:pPr>
            <w:r>
              <w:rPr>
                <w:rFonts w:hint="default" w:ascii="Times New Roman" w:hAnsi="Times New Roman" w:cs="Times New Roman"/>
              </w:rPr>
              <w:t>景观绿化区</w:t>
            </w:r>
          </w:p>
        </w:tc>
        <w:tc>
          <w:tcPr>
            <w:tcW w:w="2551" w:type="dxa"/>
            <w:vMerge w:val="continue"/>
            <w:vAlign w:val="center"/>
          </w:tcPr>
          <w:p>
            <w:pPr>
              <w:pStyle w:val="158"/>
              <w:rPr>
                <w:rFonts w:hint="default" w:ascii="Times New Roman" w:hAnsi="Times New Roman" w:cs="Times New Roman"/>
              </w:rPr>
            </w:pPr>
          </w:p>
        </w:tc>
        <w:tc>
          <w:tcPr>
            <w:tcW w:w="2410" w:type="dxa"/>
            <w:vMerge w:val="continue"/>
            <w:vAlign w:val="center"/>
          </w:tcPr>
          <w:p>
            <w:pPr>
              <w:pStyle w:val="158"/>
              <w:rPr>
                <w:rFonts w:hint="default" w:ascii="Times New Roman" w:hAnsi="Times New Roman" w:cs="Times New Roman"/>
              </w:rPr>
            </w:pPr>
          </w:p>
        </w:tc>
        <w:tc>
          <w:tcPr>
            <w:tcW w:w="1475" w:type="dxa"/>
            <w:vAlign w:val="center"/>
          </w:tcPr>
          <w:p>
            <w:pPr>
              <w:pStyle w:val="158"/>
              <w:rPr>
                <w:rFonts w:hint="default" w:ascii="Times New Roman" w:hAnsi="Times New Roman" w:cs="Times New Roman"/>
              </w:rPr>
            </w:pPr>
            <w:r>
              <w:rPr>
                <w:rFonts w:hint="default" w:ascii="Times New Roman" w:hAnsi="Times New Roman" w:cs="Times New Roman"/>
              </w:rPr>
              <w:t>每月1次，遇暴雨加测1次</w:t>
            </w:r>
          </w:p>
        </w:tc>
      </w:tr>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817" w:type="dxa"/>
            <w:vMerge w:val="restart"/>
            <w:tcBorders>
              <w:top w:val="single" w:color="auto" w:sz="4" w:space="0"/>
            </w:tcBorders>
            <w:vAlign w:val="center"/>
          </w:tcPr>
          <w:p>
            <w:pPr>
              <w:pStyle w:val="158"/>
              <w:rPr>
                <w:rFonts w:hint="default" w:ascii="Times New Roman" w:hAnsi="Times New Roman" w:cs="Times New Roman"/>
              </w:rPr>
            </w:pPr>
            <w:r>
              <w:rPr>
                <w:rFonts w:hint="default" w:ascii="Times New Roman" w:hAnsi="Times New Roman" w:cs="Times New Roman"/>
              </w:rPr>
              <w:t>自然恢复期</w:t>
            </w:r>
          </w:p>
        </w:tc>
        <w:tc>
          <w:tcPr>
            <w:tcW w:w="1276" w:type="dxa"/>
            <w:tcBorders>
              <w:top w:val="single" w:color="auto" w:sz="4" w:space="0"/>
            </w:tcBorders>
            <w:vAlign w:val="center"/>
          </w:tcPr>
          <w:p>
            <w:pPr>
              <w:pStyle w:val="158"/>
              <w:rPr>
                <w:rFonts w:hint="default" w:ascii="Times New Roman" w:hAnsi="Times New Roman" w:cs="Times New Roman"/>
              </w:rPr>
            </w:pPr>
            <w:r>
              <w:rPr>
                <w:rFonts w:hint="default" w:ascii="Times New Roman" w:hAnsi="Times New Roman" w:cs="Times New Roman"/>
                <w:lang w:val="en-US" w:eastAsia="zh-CN"/>
              </w:rPr>
              <w:t>主体建筑</w:t>
            </w:r>
            <w:r>
              <w:rPr>
                <w:rFonts w:hint="default" w:ascii="Times New Roman" w:hAnsi="Times New Roman" w:cs="Times New Roman"/>
              </w:rPr>
              <w:t>区</w:t>
            </w:r>
          </w:p>
        </w:tc>
        <w:tc>
          <w:tcPr>
            <w:tcW w:w="2551" w:type="dxa"/>
            <w:vMerge w:val="restart"/>
            <w:tcBorders>
              <w:top w:val="single" w:color="auto" w:sz="4" w:space="0"/>
            </w:tcBorders>
            <w:vAlign w:val="center"/>
          </w:tcPr>
          <w:p>
            <w:pPr>
              <w:pStyle w:val="158"/>
              <w:rPr>
                <w:rFonts w:hint="default" w:ascii="Times New Roman" w:hAnsi="Times New Roman" w:cs="Times New Roman"/>
              </w:rPr>
            </w:pPr>
            <w:r>
              <w:rPr>
                <w:rFonts w:hint="default" w:ascii="Times New Roman" w:hAnsi="Times New Roman" w:cs="Times New Roman"/>
              </w:rPr>
              <w:t>植被成活率、保存率、措施效果，水土流失强度及流失量，效益分析</w:t>
            </w:r>
          </w:p>
        </w:tc>
        <w:tc>
          <w:tcPr>
            <w:tcW w:w="2410" w:type="dxa"/>
            <w:vMerge w:val="continue"/>
            <w:vAlign w:val="center"/>
          </w:tcPr>
          <w:p>
            <w:pPr>
              <w:pStyle w:val="158"/>
              <w:rPr>
                <w:rFonts w:hint="default" w:ascii="Times New Roman" w:hAnsi="Times New Roman" w:cs="Times New Roman"/>
              </w:rPr>
            </w:pPr>
          </w:p>
        </w:tc>
        <w:tc>
          <w:tcPr>
            <w:tcW w:w="1475" w:type="dxa"/>
            <w:tcBorders>
              <w:top w:val="single" w:color="auto" w:sz="4" w:space="0"/>
            </w:tcBorders>
            <w:vAlign w:val="center"/>
          </w:tcPr>
          <w:p>
            <w:pPr>
              <w:pStyle w:val="158"/>
              <w:rPr>
                <w:rFonts w:hint="default" w:ascii="Times New Roman" w:hAnsi="Times New Roman" w:cs="Times New Roman"/>
              </w:rPr>
            </w:pPr>
            <w:r>
              <w:rPr>
                <w:rFonts w:hint="default" w:ascii="Times New Roman" w:hAnsi="Times New Roman" w:cs="Times New Roman"/>
              </w:rPr>
              <w:t>每季度1次</w:t>
            </w:r>
          </w:p>
        </w:tc>
      </w:tr>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817" w:type="dxa"/>
            <w:vMerge w:val="continue"/>
            <w:vAlign w:val="center"/>
          </w:tcPr>
          <w:p>
            <w:pPr>
              <w:pStyle w:val="158"/>
              <w:rPr>
                <w:rFonts w:hint="default" w:ascii="Times New Roman" w:hAnsi="Times New Roman" w:cs="Times New Roman"/>
              </w:rPr>
            </w:pPr>
          </w:p>
        </w:tc>
        <w:tc>
          <w:tcPr>
            <w:tcW w:w="1276" w:type="dxa"/>
            <w:tcBorders>
              <w:top w:val="single" w:color="auto" w:sz="4" w:space="0"/>
            </w:tcBorders>
            <w:vAlign w:val="center"/>
          </w:tcPr>
          <w:p>
            <w:pPr>
              <w:pStyle w:val="158"/>
              <w:rPr>
                <w:rFonts w:hint="default" w:ascii="Times New Roman" w:hAnsi="Times New Roman" w:cs="Times New Roman"/>
              </w:rPr>
            </w:pPr>
            <w:r>
              <w:rPr>
                <w:rFonts w:hint="default" w:ascii="Times New Roman" w:hAnsi="Times New Roman" w:cs="Times New Roman"/>
              </w:rPr>
              <w:t>道路</w:t>
            </w:r>
            <w:r>
              <w:rPr>
                <w:rFonts w:hint="default" w:ascii="Times New Roman" w:hAnsi="Times New Roman" w:cs="Times New Roman"/>
                <w:lang w:val="en-US" w:eastAsia="zh-CN"/>
              </w:rPr>
              <w:t>广</w:t>
            </w:r>
            <w:r>
              <w:rPr>
                <w:rFonts w:hint="default" w:ascii="Times New Roman" w:hAnsi="Times New Roman" w:cs="Times New Roman"/>
              </w:rPr>
              <w:t>场区</w:t>
            </w:r>
          </w:p>
        </w:tc>
        <w:tc>
          <w:tcPr>
            <w:tcW w:w="2551" w:type="dxa"/>
            <w:vMerge w:val="continue"/>
            <w:vAlign w:val="center"/>
          </w:tcPr>
          <w:p>
            <w:pPr>
              <w:pStyle w:val="158"/>
              <w:rPr>
                <w:rFonts w:hint="default" w:ascii="Times New Roman" w:hAnsi="Times New Roman" w:cs="Times New Roman"/>
              </w:rPr>
            </w:pPr>
          </w:p>
        </w:tc>
        <w:tc>
          <w:tcPr>
            <w:tcW w:w="2410" w:type="dxa"/>
            <w:vMerge w:val="continue"/>
            <w:vAlign w:val="center"/>
          </w:tcPr>
          <w:p>
            <w:pPr>
              <w:pStyle w:val="158"/>
              <w:rPr>
                <w:rFonts w:hint="default" w:ascii="Times New Roman" w:hAnsi="Times New Roman" w:cs="Times New Roman"/>
              </w:rPr>
            </w:pPr>
          </w:p>
        </w:tc>
        <w:tc>
          <w:tcPr>
            <w:tcW w:w="1475" w:type="dxa"/>
            <w:tcBorders>
              <w:top w:val="single" w:color="auto" w:sz="4" w:space="0"/>
            </w:tcBorders>
            <w:vAlign w:val="center"/>
          </w:tcPr>
          <w:p>
            <w:pPr>
              <w:pStyle w:val="158"/>
              <w:rPr>
                <w:rFonts w:hint="default" w:ascii="Times New Roman" w:hAnsi="Times New Roman" w:cs="Times New Roman"/>
              </w:rPr>
            </w:pPr>
            <w:r>
              <w:rPr>
                <w:rFonts w:hint="default" w:ascii="Times New Roman" w:hAnsi="Times New Roman" w:cs="Times New Roman"/>
              </w:rPr>
              <w:t>每季度1次</w:t>
            </w:r>
          </w:p>
        </w:tc>
      </w:tr>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817" w:type="dxa"/>
            <w:vMerge w:val="continue"/>
            <w:tcBorders>
              <w:top w:val="single" w:color="auto" w:sz="4" w:space="0"/>
              <w:bottom w:val="single" w:color="auto" w:sz="12" w:space="0"/>
            </w:tcBorders>
            <w:vAlign w:val="center"/>
          </w:tcPr>
          <w:p>
            <w:pPr>
              <w:pStyle w:val="158"/>
              <w:rPr>
                <w:rFonts w:hint="default" w:ascii="Times New Roman" w:hAnsi="Times New Roman" w:cs="Times New Roman"/>
              </w:rPr>
            </w:pPr>
          </w:p>
        </w:tc>
        <w:tc>
          <w:tcPr>
            <w:tcW w:w="1276" w:type="dxa"/>
            <w:tcBorders>
              <w:bottom w:val="single" w:color="auto" w:sz="12" w:space="0"/>
            </w:tcBorders>
            <w:vAlign w:val="center"/>
          </w:tcPr>
          <w:p>
            <w:pPr>
              <w:pStyle w:val="158"/>
              <w:rPr>
                <w:rFonts w:hint="default" w:ascii="Times New Roman" w:hAnsi="Times New Roman" w:cs="Times New Roman"/>
              </w:rPr>
            </w:pPr>
            <w:r>
              <w:rPr>
                <w:rFonts w:hint="default" w:ascii="Times New Roman" w:hAnsi="Times New Roman" w:cs="Times New Roman"/>
              </w:rPr>
              <w:t>景观绿化区</w:t>
            </w:r>
          </w:p>
        </w:tc>
        <w:tc>
          <w:tcPr>
            <w:tcW w:w="2551" w:type="dxa"/>
            <w:vMerge w:val="continue"/>
            <w:tcBorders>
              <w:bottom w:val="single" w:color="auto" w:sz="12" w:space="0"/>
            </w:tcBorders>
            <w:vAlign w:val="center"/>
          </w:tcPr>
          <w:p>
            <w:pPr>
              <w:pStyle w:val="158"/>
              <w:rPr>
                <w:rFonts w:hint="default" w:ascii="Times New Roman" w:hAnsi="Times New Roman" w:cs="Times New Roman"/>
              </w:rPr>
            </w:pPr>
          </w:p>
        </w:tc>
        <w:tc>
          <w:tcPr>
            <w:tcW w:w="2410" w:type="dxa"/>
            <w:vMerge w:val="continue"/>
            <w:tcBorders>
              <w:bottom w:val="single" w:color="auto" w:sz="12" w:space="0"/>
            </w:tcBorders>
            <w:vAlign w:val="center"/>
          </w:tcPr>
          <w:p>
            <w:pPr>
              <w:pStyle w:val="158"/>
              <w:rPr>
                <w:rFonts w:hint="default" w:ascii="Times New Roman" w:hAnsi="Times New Roman" w:cs="Times New Roman"/>
              </w:rPr>
            </w:pPr>
          </w:p>
        </w:tc>
        <w:tc>
          <w:tcPr>
            <w:tcW w:w="1475" w:type="dxa"/>
            <w:tcBorders>
              <w:top w:val="single" w:color="auto" w:sz="4" w:space="0"/>
              <w:bottom w:val="single" w:color="auto" w:sz="12" w:space="0"/>
            </w:tcBorders>
            <w:vAlign w:val="center"/>
          </w:tcPr>
          <w:p>
            <w:pPr>
              <w:pStyle w:val="158"/>
              <w:rPr>
                <w:rFonts w:hint="default" w:ascii="Times New Roman" w:hAnsi="Times New Roman" w:cs="Times New Roman"/>
              </w:rPr>
            </w:pPr>
            <w:r>
              <w:rPr>
                <w:rFonts w:hint="default" w:ascii="Times New Roman" w:hAnsi="Times New Roman" w:cs="Times New Roman"/>
              </w:rPr>
              <w:t>每季度1次</w:t>
            </w:r>
          </w:p>
        </w:tc>
      </w:tr>
    </w:tbl>
    <w:p>
      <w:pPr>
        <w:pStyle w:val="440"/>
        <w:ind w:firstLine="480"/>
        <w:rPr>
          <w:rFonts w:hint="default" w:ascii="Times New Roman" w:hAnsi="Times New Roman" w:cs="Times New Roman"/>
        </w:rPr>
      </w:pPr>
      <w:r>
        <w:rPr>
          <w:rFonts w:hint="default" w:ascii="Times New Roman" w:hAnsi="Times New Roman" w:cs="Times New Roman"/>
        </w:rPr>
        <w:t>根据验收要求，在总结分析监测成果的基础上，20</w:t>
      </w:r>
      <w:r>
        <w:rPr>
          <w:rFonts w:hint="default" w:ascii="Times New Roman" w:hAnsi="Times New Roman" w:cs="Times New Roman"/>
          <w:lang w:val="en-US" w:eastAsia="zh-CN"/>
        </w:rPr>
        <w:t>17</w:t>
      </w:r>
      <w:r>
        <w:rPr>
          <w:rFonts w:hint="default" w:ascii="Times New Roman" w:hAnsi="Times New Roman" w:cs="Times New Roman"/>
        </w:rPr>
        <w:t>年</w:t>
      </w:r>
      <w:r>
        <w:rPr>
          <w:rFonts w:hint="default" w:ascii="Times New Roman" w:hAnsi="Times New Roman" w:cs="Times New Roman"/>
          <w:lang w:val="en-US" w:eastAsia="zh-CN"/>
        </w:rPr>
        <w:t>8</w:t>
      </w:r>
      <w:r>
        <w:rPr>
          <w:rFonts w:hint="default" w:ascii="Times New Roman" w:hAnsi="Times New Roman" w:cs="Times New Roman"/>
        </w:rPr>
        <w:t>月份下旬，完成了最后一次水土保持监测全区调查，同时各监测点的监测工作也结束。之后对全部监测成果进行了整编，总结分析监测成果，收集工程竣工资料，编写《</w:t>
      </w:r>
      <w:r>
        <w:rPr>
          <w:rFonts w:hint="default" w:ascii="Times New Roman" w:hAnsi="Times New Roman" w:cs="Times New Roman" w:eastAsiaTheme="minorEastAsia"/>
          <w:color w:val="auto"/>
          <w:kern w:val="2"/>
          <w:sz w:val="24"/>
          <w:szCs w:val="28"/>
          <w:lang w:val="en-US" w:eastAsia="zh-CN" w:bidi="ar-SA"/>
        </w:rPr>
        <w:t>泸州市江阳区蓝田街道重湾（干坝子）安置房建设工程</w:t>
      </w:r>
      <w:r>
        <w:rPr>
          <w:rFonts w:hint="default" w:ascii="Times New Roman" w:hAnsi="Times New Roman" w:cs="Times New Roman"/>
        </w:rPr>
        <w:t>水土保持监测总结报告》。</w:t>
      </w:r>
    </w:p>
    <w:p>
      <w:pPr>
        <w:pStyle w:val="3"/>
        <w:rPr>
          <w:rFonts w:hint="default" w:ascii="Times New Roman" w:hAnsi="Times New Roman" w:cs="Times New Roman"/>
        </w:rPr>
      </w:pPr>
      <w:bookmarkStart w:id="69" w:name="_Toc502049596"/>
      <w:r>
        <w:rPr>
          <w:rFonts w:hint="default" w:ascii="Times New Roman" w:hAnsi="Times New Roman" w:cs="Times New Roman"/>
        </w:rPr>
        <w:t>6.5水土保持监理</w:t>
      </w:r>
      <w:bookmarkEnd w:id="69"/>
      <w:r>
        <w:rPr>
          <w:rFonts w:hint="default" w:ascii="Times New Roman" w:hAnsi="Times New Roman" w:cs="Times New Roman"/>
        </w:rPr>
        <w:t xml:space="preserve"> </w:t>
      </w:r>
    </w:p>
    <w:p>
      <w:pPr>
        <w:pStyle w:val="4"/>
        <w:rPr>
          <w:rFonts w:hint="default" w:ascii="Times New Roman" w:hAnsi="Times New Roman" w:cs="Times New Roman"/>
        </w:rPr>
      </w:pPr>
      <w:r>
        <w:rPr>
          <w:rFonts w:hint="default" w:ascii="Times New Roman" w:hAnsi="Times New Roman" w:cs="Times New Roman"/>
        </w:rPr>
        <w:t xml:space="preserve">6.5.1监理单位及内容 </w:t>
      </w:r>
    </w:p>
    <w:p>
      <w:pPr>
        <w:pStyle w:val="440"/>
        <w:ind w:firstLine="480"/>
        <w:rPr>
          <w:rFonts w:hint="default" w:ascii="Times New Roman" w:hAnsi="Times New Roman" w:cs="Times New Roman"/>
        </w:rPr>
      </w:pPr>
      <w:r>
        <w:rPr>
          <w:rFonts w:hint="default" w:ascii="Times New Roman" w:hAnsi="Times New Roman" w:cs="Times New Roman"/>
        </w:rPr>
        <w:t>通过招投标确定，由四川眉山华能工程技术咨询设计有限公司负责本工程水土保持监理工作，并成立了本工程项目监理部，监理人员进场后建立了监理机构。主要监理内容包括项目水土保持工程的监理。负责各部工程的质量、安全、进度以及环境保护管理。</w:t>
      </w:r>
    </w:p>
    <w:p>
      <w:pPr>
        <w:pStyle w:val="440"/>
        <w:ind w:firstLine="480"/>
        <w:rPr>
          <w:rFonts w:hint="default" w:ascii="Times New Roman" w:hAnsi="Times New Roman" w:cs="Times New Roman"/>
        </w:rPr>
      </w:pPr>
      <w:r>
        <w:rPr>
          <w:rFonts w:hint="default" w:ascii="Times New Roman" w:hAnsi="Times New Roman" w:cs="Times New Roman"/>
        </w:rPr>
        <w:t>根据我单位的授权，监理单位对承办商实施全过程监理，按照“统一、精干、高效”的原则，实施全面监理。监理单位建立了总监理工程师责任制，负责整个项目管理与协调工作，各项内容由专业监理工程师具体控制，从而形成了比较完善的监理控制体系。</w:t>
      </w:r>
    </w:p>
    <w:p>
      <w:pPr>
        <w:pStyle w:val="440"/>
        <w:ind w:firstLine="480"/>
        <w:rPr>
          <w:rFonts w:hint="default" w:ascii="Times New Roman" w:hAnsi="Times New Roman" w:cs="Times New Roman"/>
        </w:rPr>
      </w:pPr>
      <w:r>
        <w:rPr>
          <w:rFonts w:hint="default" w:ascii="Times New Roman" w:hAnsi="Times New Roman" w:cs="Times New Roman"/>
        </w:rPr>
        <w:t>经过监理单位严格监督，保证了水土保持工程的施工质量、进度、投资等控制达到我方的要求。</w:t>
      </w:r>
    </w:p>
    <w:p>
      <w:pPr>
        <w:pStyle w:val="4"/>
        <w:rPr>
          <w:rFonts w:hint="default" w:ascii="Times New Roman" w:hAnsi="Times New Roman" w:cs="Times New Roman"/>
        </w:rPr>
      </w:pPr>
      <w:r>
        <w:rPr>
          <w:rFonts w:hint="default" w:ascii="Times New Roman" w:hAnsi="Times New Roman" w:cs="Times New Roman"/>
        </w:rPr>
        <w:t xml:space="preserve">6.5.2监理机构 </w:t>
      </w:r>
    </w:p>
    <w:p>
      <w:pPr>
        <w:pStyle w:val="440"/>
        <w:ind w:firstLine="480"/>
        <w:rPr>
          <w:rFonts w:hint="default" w:ascii="Times New Roman" w:hAnsi="Times New Roman" w:cs="Times New Roman"/>
        </w:rPr>
      </w:pPr>
      <w:r>
        <w:rPr>
          <w:rFonts w:hint="default" w:ascii="Times New Roman" w:hAnsi="Times New Roman" w:cs="Times New Roman"/>
        </w:rPr>
        <w:t>根据《水利水电工程施工监理规范》和我方的要求，工程监理实行总监理工程师负责制。总监理工程师是工程监理的第一负责人，全面组织领导监理部的各项工作，负责组织管理监理机构、确定岗位及人员安排。</w:t>
      </w:r>
    </w:p>
    <w:p>
      <w:pPr>
        <w:pStyle w:val="4"/>
        <w:rPr>
          <w:rFonts w:hint="default" w:ascii="Times New Roman" w:hAnsi="Times New Roman" w:cs="Times New Roman"/>
        </w:rPr>
      </w:pPr>
      <w:r>
        <w:rPr>
          <w:rFonts w:hint="default" w:ascii="Times New Roman" w:hAnsi="Times New Roman" w:cs="Times New Roman"/>
        </w:rPr>
        <w:t xml:space="preserve">6.5.3监理方法及质量保证措施 </w:t>
      </w:r>
    </w:p>
    <w:p>
      <w:pPr>
        <w:pStyle w:val="440"/>
        <w:ind w:firstLine="480"/>
        <w:rPr>
          <w:rFonts w:hint="default" w:ascii="Times New Roman" w:hAnsi="Times New Roman" w:cs="Times New Roman"/>
        </w:rPr>
      </w:pPr>
      <w:r>
        <w:rPr>
          <w:rFonts w:hint="default" w:ascii="Times New Roman" w:hAnsi="Times New Roman" w:cs="Times New Roman"/>
        </w:rPr>
        <w:t>根据《水利水电工程施工监理规范》对监理工程师职责要求，监理实行“三控制，两管，一协调”，坚持事前控制、中间检查、验收把关，对工程实施全面、全过程监理。监理人员始终恪守“科学、公正、廉洁”的职业准则，使监理工作健康顺利进行。</w:t>
      </w:r>
    </w:p>
    <w:p>
      <w:pPr>
        <w:pStyle w:val="4"/>
        <w:rPr>
          <w:rFonts w:hint="default" w:ascii="Times New Roman" w:hAnsi="Times New Roman" w:cs="Times New Roman"/>
        </w:rPr>
      </w:pPr>
      <w:r>
        <w:rPr>
          <w:rFonts w:hint="default" w:ascii="Times New Roman" w:hAnsi="Times New Roman" w:cs="Times New Roman"/>
        </w:rPr>
        <w:t xml:space="preserve">6.5.4监理执行情况 </w:t>
      </w:r>
    </w:p>
    <w:p>
      <w:pPr>
        <w:pStyle w:val="440"/>
        <w:ind w:firstLine="480"/>
        <w:rPr>
          <w:rFonts w:hint="default" w:ascii="Times New Roman" w:hAnsi="Times New Roman" w:cs="Times New Roman"/>
        </w:rPr>
      </w:pPr>
      <w:r>
        <w:rPr>
          <w:rFonts w:hint="default" w:ascii="Times New Roman" w:hAnsi="Times New Roman" w:cs="Times New Roman"/>
        </w:rPr>
        <w:t xml:space="preserve">（1）工程质量控制 </w:t>
      </w:r>
    </w:p>
    <w:p>
      <w:pPr>
        <w:pStyle w:val="440"/>
        <w:ind w:firstLine="480"/>
        <w:rPr>
          <w:rFonts w:hint="default" w:ascii="Times New Roman" w:hAnsi="Times New Roman" w:cs="Times New Roman"/>
        </w:rPr>
      </w:pPr>
      <w:r>
        <w:rPr>
          <w:rFonts w:hint="default" w:ascii="Times New Roman" w:hAnsi="Times New Roman" w:cs="Times New Roman"/>
        </w:rPr>
        <w:t>本工程建设项目工期紧、要求高，自工程开工起始终把质量工作放在各项工作的首位，我单位要求监理单位严格按照监理招标文件规定的各项原则、合同条款，技术规范和设计文件，控制工程质量，监理单位主要通过一下途径和方法，实现了质量管理目标。</w:t>
      </w:r>
    </w:p>
    <w:p>
      <w:pPr>
        <w:pStyle w:val="440"/>
        <w:ind w:firstLine="480"/>
        <w:rPr>
          <w:rFonts w:hint="default" w:ascii="Times New Roman" w:hAnsi="Times New Roman" w:cs="Times New Roman"/>
        </w:rPr>
      </w:pPr>
      <w:r>
        <w:rPr>
          <w:rFonts w:hint="default" w:ascii="Times New Roman" w:hAnsi="Times New Roman" w:cs="Times New Roman"/>
        </w:rPr>
        <w:t>①实行“预控、程控、终控”三阶段控制措施</w:t>
      </w:r>
    </w:p>
    <w:p>
      <w:pPr>
        <w:pStyle w:val="440"/>
        <w:ind w:firstLine="480"/>
        <w:rPr>
          <w:rFonts w:hint="default" w:ascii="Times New Roman" w:hAnsi="Times New Roman" w:cs="Times New Roman"/>
        </w:rPr>
      </w:pPr>
      <w:r>
        <w:rPr>
          <w:rFonts w:hint="default" w:ascii="Times New Roman" w:hAnsi="Times New Roman" w:cs="Times New Roman"/>
        </w:rPr>
        <w:t xml:space="preserve">a、“预控”即预先控制，主要内容包括：核发设计图纸文件，组织设计交底，督促施工单位监理质量保证体系、规章制度、配备检测手段，审查批复施工组织设计、单项施工技术措施及开工施工条件。 </w:t>
      </w:r>
    </w:p>
    <w:p>
      <w:pPr>
        <w:pStyle w:val="440"/>
        <w:ind w:firstLine="480"/>
        <w:rPr>
          <w:rFonts w:hint="default" w:ascii="Times New Roman" w:hAnsi="Times New Roman" w:cs="Times New Roman"/>
        </w:rPr>
      </w:pPr>
      <w:r>
        <w:rPr>
          <w:rFonts w:hint="default" w:ascii="Times New Roman" w:hAnsi="Times New Roman" w:cs="Times New Roman"/>
        </w:rPr>
        <w:t xml:space="preserve">b、“程控”即施工过程控制，是质量控制的主要环节。监理单位主要采取巡视检查、平行检查、现场旁站、抽样检测、验收签证及指令文件、通知等手段进行质量检查和质量监督。 </w:t>
      </w:r>
    </w:p>
    <w:p>
      <w:pPr>
        <w:pStyle w:val="440"/>
        <w:ind w:firstLine="480"/>
        <w:rPr>
          <w:rFonts w:hint="default" w:ascii="Times New Roman" w:hAnsi="Times New Roman" w:cs="Times New Roman"/>
        </w:rPr>
      </w:pPr>
      <w:r>
        <w:rPr>
          <w:rFonts w:hint="default" w:ascii="Times New Roman" w:hAnsi="Times New Roman" w:cs="Times New Roman"/>
        </w:rPr>
        <w:t xml:space="preserve">C、“终控”即工程验收前，对竣工的归档资料和施工现场进行全面细致的检查和处理，对质量有疑点的部位采取钻孔取芯、压水实验进行复查和处理，组织部分分项工程验收签证，提出质量评定意见和验收结论。 </w:t>
      </w:r>
    </w:p>
    <w:p>
      <w:pPr>
        <w:pStyle w:val="440"/>
        <w:ind w:firstLine="480"/>
        <w:rPr>
          <w:rFonts w:hint="default" w:ascii="Times New Roman" w:hAnsi="Times New Roman" w:cs="Times New Roman"/>
        </w:rPr>
      </w:pPr>
      <w:r>
        <w:rPr>
          <w:rFonts w:hint="default" w:ascii="Times New Roman" w:hAnsi="Times New Roman" w:cs="Times New Roman"/>
        </w:rPr>
        <w:t xml:space="preserve">②单元工程和工序质量控制 </w:t>
      </w:r>
    </w:p>
    <w:p>
      <w:pPr>
        <w:pStyle w:val="440"/>
        <w:ind w:firstLine="480"/>
        <w:rPr>
          <w:rFonts w:hint="default" w:ascii="Times New Roman" w:hAnsi="Times New Roman" w:cs="Times New Roman"/>
        </w:rPr>
      </w:pPr>
      <w:r>
        <w:rPr>
          <w:rFonts w:hint="default" w:ascii="Times New Roman" w:hAnsi="Times New Roman" w:cs="Times New Roman"/>
        </w:rPr>
        <w:t xml:space="preserve">单元工程验收、作业工序检查作为质量控制的基础，监理单位严格执行所制定的验收签证操作程序及相应的监理实施细则，并在工程实施的基础上，进一步制定作业工序监理规程和管理规定，严格执行上一道工序验收合格方可进行下一道工序施工。 </w:t>
      </w:r>
    </w:p>
    <w:p>
      <w:pPr>
        <w:pStyle w:val="440"/>
        <w:ind w:firstLine="480"/>
        <w:rPr>
          <w:rFonts w:hint="default" w:ascii="Times New Roman" w:hAnsi="Times New Roman" w:cs="Times New Roman"/>
        </w:rPr>
      </w:pPr>
      <w:r>
        <w:rPr>
          <w:rFonts w:hint="default" w:ascii="Times New Roman" w:hAnsi="Times New Roman" w:cs="Times New Roman"/>
        </w:rPr>
        <w:t xml:space="preserve">③坚持平行检查，实行旁站监理 </w:t>
      </w:r>
    </w:p>
    <w:p>
      <w:pPr>
        <w:pStyle w:val="440"/>
        <w:ind w:firstLine="480"/>
        <w:rPr>
          <w:rFonts w:hint="default" w:ascii="Times New Roman" w:hAnsi="Times New Roman" w:cs="Times New Roman"/>
        </w:rPr>
      </w:pPr>
      <w:r>
        <w:rPr>
          <w:rFonts w:hint="default" w:ascii="Times New Roman" w:hAnsi="Times New Roman" w:cs="Times New Roman"/>
        </w:rPr>
        <w:t xml:space="preserve">在施工过程中，监理单位采取巡视、检查、平行检验等方式的同时，对工程的关键部位、施工的关键时段和关键环节实行旁站，按作业程序进行跟踪监督检查，做好质量记录，严格工序签证。 </w:t>
      </w:r>
    </w:p>
    <w:p>
      <w:pPr>
        <w:pStyle w:val="440"/>
        <w:ind w:firstLine="480"/>
        <w:rPr>
          <w:rFonts w:hint="default" w:ascii="Times New Roman" w:hAnsi="Times New Roman" w:cs="Times New Roman"/>
        </w:rPr>
      </w:pPr>
      <w:r>
        <w:rPr>
          <w:rFonts w:hint="default" w:ascii="Times New Roman" w:hAnsi="Times New Roman" w:cs="Times New Roman"/>
        </w:rPr>
        <w:t xml:space="preserve">（2）工程进度控制 </w:t>
      </w:r>
    </w:p>
    <w:p>
      <w:pPr>
        <w:pStyle w:val="440"/>
        <w:ind w:firstLine="480"/>
        <w:rPr>
          <w:rFonts w:hint="default" w:ascii="Times New Roman" w:hAnsi="Times New Roman" w:cs="Times New Roman"/>
        </w:rPr>
      </w:pPr>
      <w:r>
        <w:rPr>
          <w:rFonts w:hint="default" w:ascii="Times New Roman" w:hAnsi="Times New Roman" w:cs="Times New Roman"/>
        </w:rPr>
        <w:t xml:space="preserve">监理单位对进度计划的督促、控制主要是依据我单位下达的总体计划进度要求，根据各合同段实际情况制定的详细进度计划，督促承包人做好分项工程开工前的施工组织设计和月、季进度计划，与阶段目标对照分析，研究实施的难点、重点工程，找出计划实施的关键线路，认真研究确定影响工程质量的关键因素，从而确保阶段目标按期完成。 </w:t>
      </w:r>
    </w:p>
    <w:p>
      <w:pPr>
        <w:pStyle w:val="440"/>
        <w:ind w:firstLine="480"/>
        <w:rPr>
          <w:rFonts w:hint="default" w:ascii="Times New Roman" w:hAnsi="Times New Roman" w:cs="Times New Roman"/>
        </w:rPr>
      </w:pPr>
      <w:r>
        <w:rPr>
          <w:rFonts w:hint="default" w:ascii="Times New Roman" w:hAnsi="Times New Roman" w:cs="Times New Roman"/>
        </w:rPr>
        <w:t xml:space="preserve">（3）工程投资控制 </w:t>
      </w:r>
    </w:p>
    <w:p>
      <w:pPr>
        <w:pStyle w:val="440"/>
        <w:ind w:firstLine="480"/>
        <w:rPr>
          <w:rFonts w:hint="default" w:ascii="Times New Roman" w:hAnsi="Times New Roman" w:cs="Times New Roman"/>
        </w:rPr>
      </w:pPr>
      <w:r>
        <w:rPr>
          <w:rFonts w:hint="default" w:ascii="Times New Roman" w:hAnsi="Times New Roman" w:cs="Times New Roman"/>
        </w:rPr>
        <w:t xml:space="preserve">投资控制的目标是以发包方与承包方签订的合同价为基础，监理单位采取了以下措施控制工程投资在工程投资概算所确定的范围内。 </w:t>
      </w:r>
    </w:p>
    <w:p>
      <w:pPr>
        <w:pStyle w:val="440"/>
        <w:ind w:firstLine="480"/>
        <w:rPr>
          <w:rFonts w:hint="default" w:ascii="Times New Roman" w:hAnsi="Times New Roman" w:cs="Times New Roman"/>
        </w:rPr>
      </w:pPr>
      <w:r>
        <w:rPr>
          <w:rFonts w:hint="default" w:ascii="Times New Roman" w:hAnsi="Times New Roman" w:cs="Times New Roman"/>
        </w:rPr>
        <w:t xml:space="preserve">①编制工程项目投资控制目标，根据施工进度协助我单位编制各年、季、月投资控制计划目标，进行投资动态控制。 </w:t>
      </w:r>
    </w:p>
    <w:p>
      <w:pPr>
        <w:pStyle w:val="440"/>
        <w:ind w:firstLine="480"/>
        <w:rPr>
          <w:rFonts w:hint="default" w:ascii="Times New Roman" w:hAnsi="Times New Roman" w:cs="Times New Roman"/>
        </w:rPr>
      </w:pPr>
      <w:r>
        <w:rPr>
          <w:rFonts w:hint="default" w:ascii="Times New Roman" w:hAnsi="Times New Roman" w:cs="Times New Roman"/>
        </w:rPr>
        <w:t xml:space="preserve">②明确计量管理办法、手段、程序，明确计价支付程序。 ③审查施工图纸，严格控制设计变更，并及时分析设计变更对工程投资控制的影响。 </w:t>
      </w:r>
    </w:p>
    <w:p>
      <w:pPr>
        <w:pStyle w:val="440"/>
        <w:ind w:firstLine="480"/>
        <w:rPr>
          <w:rFonts w:hint="default" w:ascii="Times New Roman" w:hAnsi="Times New Roman" w:cs="Times New Roman"/>
        </w:rPr>
      </w:pPr>
      <w:r>
        <w:rPr>
          <w:rFonts w:hint="default" w:ascii="Times New Roman" w:hAnsi="Times New Roman" w:cs="Times New Roman"/>
        </w:rPr>
        <w:t>④做好工程记录，保存各种文件、图纸；对工程施工过程中的投资做出分析与预测，定期向我单位提交项目投资控制及其存在问题报告，避免事后检查，造成返工。</w:t>
      </w:r>
    </w:p>
    <w:p>
      <w:pPr>
        <w:pStyle w:val="3"/>
        <w:rPr>
          <w:rFonts w:hint="default" w:ascii="Times New Roman" w:hAnsi="Times New Roman" w:cs="Times New Roman"/>
        </w:rPr>
      </w:pPr>
      <w:bookmarkStart w:id="70" w:name="_Toc502049597"/>
      <w:r>
        <w:rPr>
          <w:rFonts w:hint="default" w:ascii="Times New Roman" w:hAnsi="Times New Roman" w:cs="Times New Roman"/>
        </w:rPr>
        <w:t>6.6水行政主管部门监督检查意见落实情况</w:t>
      </w:r>
      <w:bookmarkEnd w:id="70"/>
    </w:p>
    <w:p>
      <w:pPr>
        <w:pStyle w:val="440"/>
        <w:ind w:firstLine="480"/>
        <w:rPr>
          <w:rFonts w:hint="default" w:ascii="Times New Roman" w:hAnsi="Times New Roman" w:cs="Times New Roman"/>
        </w:rPr>
      </w:pPr>
      <w:r>
        <w:rPr>
          <w:rFonts w:hint="default" w:ascii="Times New Roman" w:hAnsi="Times New Roman" w:cs="Times New Roman"/>
        </w:rPr>
        <w:t>项目在施工过程中，水行政主管部门组织相关人员到项目现场，主要通过巡查和调查的方式对水土保持设施建设情况进行了监督检查，并给出了应重视主体工程施工质量，做好工程的水土保持工作相关等检查意见，听取意见后，我单位落实了水土保持方案的设计、施工和监理，明确质量管理目标，始终坚持把质量管理放在一切工作的首位，在保证质量的前提下，加快施工进度，做好投资控制。按照质量管理目标的要求，我单位制定并完善质量管理体系，加强对监理单位、施工单位的质量检查力度。</w:t>
      </w:r>
    </w:p>
    <w:p>
      <w:pPr>
        <w:pStyle w:val="3"/>
        <w:rPr>
          <w:rFonts w:hint="default" w:ascii="Times New Roman" w:hAnsi="Times New Roman" w:cs="Times New Roman"/>
        </w:rPr>
      </w:pPr>
      <w:bookmarkStart w:id="71" w:name="_Toc502049598"/>
      <w:r>
        <w:rPr>
          <w:rFonts w:hint="default" w:ascii="Times New Roman" w:hAnsi="Times New Roman" w:cs="Times New Roman"/>
        </w:rPr>
        <w:t>6.7水土保持补偿费缴纳情况</w:t>
      </w:r>
      <w:bookmarkEnd w:id="71"/>
    </w:p>
    <w:p>
      <w:pPr>
        <w:pStyle w:val="440"/>
        <w:ind w:firstLine="480"/>
        <w:rPr>
          <w:rFonts w:hint="default" w:ascii="Times New Roman" w:hAnsi="Times New Roman" w:cs="Times New Roman"/>
        </w:rPr>
      </w:pPr>
      <w:r>
        <w:rPr>
          <w:rFonts w:hint="default" w:ascii="Times New Roman" w:hAnsi="Times New Roman" w:cs="Times New Roman"/>
        </w:rPr>
        <w:t>我公司及时对项目水土保持补偿费进行补缴。</w:t>
      </w:r>
    </w:p>
    <w:p>
      <w:pPr>
        <w:pStyle w:val="3"/>
        <w:rPr>
          <w:rFonts w:hint="default" w:ascii="Times New Roman" w:hAnsi="Times New Roman" w:cs="Times New Roman"/>
        </w:rPr>
      </w:pPr>
      <w:bookmarkStart w:id="72" w:name="_Toc502049599"/>
      <w:r>
        <w:rPr>
          <w:rFonts w:hint="default" w:ascii="Times New Roman" w:hAnsi="Times New Roman" w:cs="Times New Roman"/>
        </w:rPr>
        <w:t>6.8水土保持设施管理维护</w:t>
      </w:r>
      <w:bookmarkEnd w:id="72"/>
    </w:p>
    <w:p>
      <w:pPr>
        <w:pStyle w:val="440"/>
        <w:ind w:firstLine="480"/>
        <w:rPr>
          <w:rFonts w:hint="default" w:ascii="Times New Roman" w:hAnsi="Times New Roman" w:cs="Times New Roman"/>
        </w:rPr>
      </w:pPr>
      <w:r>
        <w:rPr>
          <w:rFonts w:hint="default" w:ascii="Times New Roman" w:hAnsi="Times New Roman" w:cs="Times New Roman"/>
        </w:rPr>
        <w:t>运营期间，水土保持设施的管理维护工作由我公司负责，明确组织机构，实行定期巡查，建立管理养护责任制，落实专人，防止新的水土流失发生。</w:t>
      </w:r>
    </w:p>
    <w:p>
      <w:pPr>
        <w:rPr>
          <w:rFonts w:hint="default" w:ascii="Times New Roman" w:hAnsi="Times New Roman" w:cs="Times New Roman"/>
        </w:rPr>
        <w:sectPr>
          <w:pgSz w:w="11906" w:h="16838"/>
          <w:pgMar w:top="1440" w:right="1440" w:bottom="1440" w:left="1701" w:header="851" w:footer="992" w:gutter="0"/>
          <w:cols w:space="425" w:num="1"/>
          <w:docGrid w:linePitch="312" w:charSpace="0"/>
        </w:sectPr>
      </w:pPr>
    </w:p>
    <w:p>
      <w:pPr>
        <w:pStyle w:val="2"/>
        <w:rPr>
          <w:rFonts w:hint="default" w:ascii="Times New Roman" w:hAnsi="Times New Roman" w:cs="Times New Roman"/>
        </w:rPr>
      </w:pPr>
      <w:bookmarkStart w:id="73" w:name="_Toc495795601"/>
      <w:bookmarkStart w:id="74" w:name="_Toc502049600"/>
      <w:r>
        <w:rPr>
          <w:rFonts w:hint="default" w:ascii="Times New Roman" w:hAnsi="Times New Roman" w:cs="Times New Roman"/>
        </w:rPr>
        <w:t>7</w:t>
      </w:r>
      <w:bookmarkEnd w:id="73"/>
      <w:r>
        <w:rPr>
          <w:rFonts w:hint="default" w:ascii="Times New Roman" w:hAnsi="Times New Roman" w:cs="Times New Roman"/>
        </w:rPr>
        <w:t>结论</w:t>
      </w:r>
      <w:bookmarkEnd w:id="74"/>
    </w:p>
    <w:p>
      <w:pPr>
        <w:pStyle w:val="3"/>
        <w:rPr>
          <w:rFonts w:hint="default" w:ascii="Times New Roman" w:hAnsi="Times New Roman" w:cs="Times New Roman"/>
        </w:rPr>
      </w:pPr>
      <w:bookmarkStart w:id="75" w:name="_Toc502049601"/>
      <w:r>
        <w:rPr>
          <w:rFonts w:hint="default" w:ascii="Times New Roman" w:hAnsi="Times New Roman" w:cs="Times New Roman"/>
        </w:rPr>
        <w:t>7.1结论</w:t>
      </w:r>
      <w:bookmarkEnd w:id="75"/>
    </w:p>
    <w:p>
      <w:pPr>
        <w:pStyle w:val="440"/>
        <w:ind w:firstLine="480"/>
        <w:rPr>
          <w:rFonts w:hint="default" w:ascii="Times New Roman" w:hAnsi="Times New Roman" w:eastAsia="宋体" w:cs="Times New Roman"/>
        </w:rPr>
      </w:pPr>
      <w:r>
        <w:rPr>
          <w:rFonts w:hint="default" w:ascii="Times New Roman" w:hAnsi="Times New Roman" w:cs="Times New Roman"/>
        </w:rPr>
        <w:t>泸州鑫盛轻工发展有限公司</w:t>
      </w:r>
      <w:r>
        <w:rPr>
          <w:rFonts w:hint="default" w:ascii="Times New Roman" w:hAnsi="Times New Roman" w:cs="Times New Roman" w:eastAsiaTheme="minorEastAsia"/>
          <w:color w:val="auto"/>
          <w:kern w:val="2"/>
          <w:sz w:val="24"/>
          <w:szCs w:val="28"/>
          <w:lang w:val="en-US" w:eastAsia="zh-CN" w:bidi="ar-SA"/>
        </w:rPr>
        <w:t>泸州市江阳区蓝田街道重湾（干坝子）安置房建设工程</w:t>
      </w:r>
      <w:r>
        <w:rPr>
          <w:rFonts w:hint="default" w:ascii="Times New Roman" w:hAnsi="Times New Roman" w:cs="Times New Roman"/>
          <w:snapToGrid w:val="0"/>
          <w:kern w:val="0"/>
        </w:rPr>
        <w:t>本次验收</w:t>
      </w:r>
      <w:r>
        <w:rPr>
          <w:rFonts w:hint="default" w:ascii="Times New Roman" w:hAnsi="Times New Roman" w:eastAsia="宋体" w:cs="Times New Roman"/>
        </w:rPr>
        <w:t>水土流失防治责任范围</w:t>
      </w:r>
      <w:r>
        <w:rPr>
          <w:rFonts w:hint="default" w:ascii="Times New Roman" w:hAnsi="Times New Roman" w:eastAsia="宋体" w:cs="Times New Roman"/>
          <w:lang w:val="en-US" w:eastAsia="zh-CN"/>
        </w:rPr>
        <w:t>1.34</w:t>
      </w:r>
      <w:r>
        <w:rPr>
          <w:rFonts w:hint="default" w:ascii="Times New Roman" w:hAnsi="Times New Roman" w:eastAsia="宋体" w:cs="Times New Roman"/>
        </w:rPr>
        <w:t>hm</w:t>
      </w:r>
      <w:r>
        <w:rPr>
          <w:rFonts w:hint="default" w:ascii="Times New Roman" w:hAnsi="Times New Roman" w:eastAsia="宋体" w:cs="Times New Roman"/>
          <w:vertAlign w:val="superscript"/>
        </w:rPr>
        <w:t>2</w:t>
      </w:r>
      <w:r>
        <w:rPr>
          <w:rFonts w:hint="default" w:ascii="Times New Roman" w:hAnsi="Times New Roman" w:eastAsia="宋体" w:cs="Times New Roman"/>
        </w:rPr>
        <w:t>，本工程建设中，能够按照该方案落实各项水土保持措施，接受地方水行政主管部门的检查和工程建设后期的水土保持工作。工程方案实施后，各项水土流失控制指标符合水土保持设计方案要求，水土保持6个防治目标的各项指标如下：</w:t>
      </w:r>
    </w:p>
    <w:p>
      <w:pPr>
        <w:pStyle w:val="440"/>
        <w:numPr>
          <w:ilvl w:val="0"/>
          <w:numId w:val="4"/>
        </w:numPr>
        <w:ind w:firstLineChars="0"/>
        <w:rPr>
          <w:rFonts w:hint="default" w:ascii="Times New Roman" w:hAnsi="Times New Roman" w:cs="Times New Roman"/>
        </w:rPr>
      </w:pPr>
      <w:r>
        <w:rPr>
          <w:rFonts w:hint="default" w:ascii="Times New Roman" w:hAnsi="Times New Roman" w:cs="Times New Roman"/>
        </w:rPr>
        <w:t>工程建设实际扰动土地面积为</w:t>
      </w:r>
      <w:r>
        <w:rPr>
          <w:rFonts w:hint="default" w:ascii="Times New Roman" w:hAnsi="Times New Roman" w:cs="Times New Roman"/>
          <w:lang w:val="en-US" w:eastAsia="zh-CN"/>
        </w:rPr>
        <w:t>1.34</w:t>
      </w:r>
      <w:r>
        <w:rPr>
          <w:rFonts w:hint="default" w:ascii="Times New Roman" w:hAnsi="Times New Roman" w:cs="Times New Roman"/>
        </w:rPr>
        <w:t>hm</w:t>
      </w:r>
      <w:r>
        <w:rPr>
          <w:rFonts w:hint="default" w:ascii="Times New Roman" w:hAnsi="Times New Roman" w:cs="Times New Roman"/>
          <w:vertAlign w:val="superscript"/>
        </w:rPr>
        <w:t>2</w:t>
      </w:r>
      <w:r>
        <w:rPr>
          <w:rFonts w:hint="default" w:ascii="Times New Roman" w:hAnsi="Times New Roman" w:cs="Times New Roman"/>
        </w:rPr>
        <w:t>。通过各项水土保持措施的实施共计完成治理面积</w:t>
      </w:r>
      <w:r>
        <w:rPr>
          <w:rFonts w:hint="default" w:ascii="Times New Roman" w:hAnsi="Times New Roman" w:cs="Times New Roman"/>
          <w:lang w:val="en-US" w:eastAsia="zh-CN"/>
        </w:rPr>
        <w:t>1.34</w:t>
      </w:r>
      <w:r>
        <w:rPr>
          <w:rFonts w:hint="default" w:ascii="Times New Roman" w:hAnsi="Times New Roman" w:cs="Times New Roman"/>
        </w:rPr>
        <w:t>hm</w:t>
      </w:r>
      <w:r>
        <w:rPr>
          <w:rFonts w:hint="default" w:ascii="Times New Roman" w:hAnsi="Times New Roman" w:cs="Times New Roman"/>
          <w:vertAlign w:val="superscript"/>
        </w:rPr>
        <w:t>2</w:t>
      </w:r>
      <w:r>
        <w:rPr>
          <w:rFonts w:hint="default" w:ascii="Times New Roman" w:hAnsi="Times New Roman" w:cs="Times New Roman"/>
        </w:rPr>
        <w:t>，项目区平均扰动土地整治率</w:t>
      </w:r>
      <w:r>
        <w:rPr>
          <w:rFonts w:hint="default" w:ascii="Times New Roman" w:hAnsi="Times New Roman" w:cs="Times New Roman"/>
          <w:lang w:val="en-US" w:eastAsia="zh-CN"/>
        </w:rPr>
        <w:t>100</w:t>
      </w:r>
      <w:r>
        <w:rPr>
          <w:rFonts w:hint="default" w:ascii="Times New Roman" w:hAnsi="Times New Roman" w:cs="Times New Roman"/>
        </w:rPr>
        <w:t>%。</w:t>
      </w:r>
    </w:p>
    <w:p>
      <w:pPr>
        <w:pStyle w:val="440"/>
        <w:numPr>
          <w:ilvl w:val="0"/>
          <w:numId w:val="4"/>
        </w:numPr>
        <w:ind w:firstLineChars="0"/>
        <w:rPr>
          <w:rFonts w:hint="default" w:ascii="Times New Roman" w:hAnsi="Times New Roman" w:cs="Times New Roman"/>
        </w:rPr>
      </w:pPr>
      <w:r>
        <w:rPr>
          <w:rFonts w:hint="default" w:ascii="Times New Roman" w:hAnsi="Times New Roman" w:cs="Times New Roman"/>
        </w:rPr>
        <w:t>工程共计完成水土流失治理面积</w:t>
      </w:r>
      <w:r>
        <w:rPr>
          <w:rFonts w:hint="default" w:ascii="Times New Roman" w:hAnsi="Times New Roman" w:cs="Times New Roman"/>
          <w:lang w:val="en-US" w:eastAsia="zh-CN"/>
        </w:rPr>
        <w:t>1.34</w:t>
      </w:r>
      <w:r>
        <w:rPr>
          <w:rFonts w:hint="default" w:ascii="Times New Roman" w:hAnsi="Times New Roman" w:cs="Times New Roman"/>
        </w:rPr>
        <w:t>hm</w:t>
      </w:r>
      <w:r>
        <w:rPr>
          <w:rFonts w:hint="default" w:ascii="Times New Roman" w:hAnsi="Times New Roman" w:cs="Times New Roman"/>
          <w:vertAlign w:val="superscript"/>
        </w:rPr>
        <w:t>2</w:t>
      </w:r>
      <w:r>
        <w:rPr>
          <w:rFonts w:hint="default" w:ascii="Times New Roman" w:hAnsi="Times New Roman" w:cs="Times New Roman"/>
        </w:rPr>
        <w:t>，建设区水土流失总面积</w:t>
      </w:r>
      <w:r>
        <w:rPr>
          <w:rFonts w:hint="default" w:ascii="Times New Roman" w:hAnsi="Times New Roman" w:cs="Times New Roman"/>
          <w:lang w:val="en-US" w:eastAsia="zh-CN"/>
        </w:rPr>
        <w:t>1.34</w:t>
      </w:r>
      <w:r>
        <w:rPr>
          <w:rFonts w:hint="default" w:ascii="Times New Roman" w:hAnsi="Times New Roman" w:cs="Times New Roman"/>
        </w:rPr>
        <w:t>hm</w:t>
      </w:r>
      <w:r>
        <w:rPr>
          <w:rFonts w:hint="default" w:ascii="Times New Roman" w:hAnsi="Times New Roman" w:cs="Times New Roman"/>
          <w:vertAlign w:val="superscript"/>
        </w:rPr>
        <w:t>2</w:t>
      </w:r>
      <w:r>
        <w:rPr>
          <w:rFonts w:hint="default" w:ascii="Times New Roman" w:hAnsi="Times New Roman" w:cs="Times New Roman"/>
        </w:rPr>
        <w:t>，平均水土流失总治理度为</w:t>
      </w:r>
      <w:r>
        <w:rPr>
          <w:rFonts w:hint="default" w:ascii="Times New Roman" w:hAnsi="Times New Roman" w:cs="Times New Roman"/>
          <w:lang w:val="en-US" w:eastAsia="zh-CN"/>
        </w:rPr>
        <w:t>100</w:t>
      </w:r>
      <w:r>
        <w:rPr>
          <w:rFonts w:hint="default" w:ascii="Times New Roman" w:hAnsi="Times New Roman" w:cs="Times New Roman"/>
        </w:rPr>
        <w:t>%。</w:t>
      </w:r>
    </w:p>
    <w:p>
      <w:pPr>
        <w:pStyle w:val="440"/>
        <w:numPr>
          <w:ilvl w:val="0"/>
          <w:numId w:val="4"/>
        </w:numPr>
        <w:ind w:firstLineChars="0"/>
        <w:rPr>
          <w:rFonts w:hint="default" w:ascii="Times New Roman" w:hAnsi="Times New Roman" w:cs="Times New Roman"/>
        </w:rPr>
      </w:pPr>
      <w:r>
        <w:rPr>
          <w:rFonts w:hint="default" w:ascii="Times New Roman" w:hAnsi="Times New Roman" w:cs="Times New Roman"/>
        </w:rPr>
        <w:t>治理后，目前项目区的土壤侵蚀模数下降至</w:t>
      </w:r>
      <w:r>
        <w:rPr>
          <w:rFonts w:hint="default" w:ascii="Times New Roman" w:hAnsi="Times New Roman" w:cs="Times New Roman"/>
          <w:lang w:val="en-US" w:eastAsia="zh-CN"/>
        </w:rPr>
        <w:t>350</w:t>
      </w:r>
      <w:r>
        <w:rPr>
          <w:rFonts w:hint="default" w:ascii="Times New Roman" w:hAnsi="Times New Roman" w:cs="Times New Roman"/>
        </w:rPr>
        <w:t>t/km</w:t>
      </w:r>
      <w:r>
        <w:rPr>
          <w:rFonts w:hint="default" w:ascii="Times New Roman" w:hAnsi="Times New Roman" w:cs="Times New Roman"/>
          <w:vertAlign w:val="superscript"/>
        </w:rPr>
        <w:t>2</w:t>
      </w:r>
      <w:r>
        <w:rPr>
          <w:rFonts w:hint="default" w:ascii="Times New Roman" w:hAnsi="Times New Roman" w:cs="Times New Roman"/>
        </w:rPr>
        <w:t>·a，土壤流失控制比达到了</w:t>
      </w:r>
      <w:r>
        <w:rPr>
          <w:rFonts w:hint="default" w:ascii="Times New Roman" w:hAnsi="Times New Roman" w:cs="Times New Roman"/>
          <w:lang w:val="en-US" w:eastAsia="zh-CN"/>
        </w:rPr>
        <w:t>1.0</w:t>
      </w:r>
      <w:r>
        <w:rPr>
          <w:rFonts w:hint="default" w:ascii="Times New Roman" w:hAnsi="Times New Roman" w:cs="Times New Roman"/>
        </w:rPr>
        <w:t>。</w:t>
      </w:r>
    </w:p>
    <w:p>
      <w:pPr>
        <w:pStyle w:val="440"/>
        <w:numPr>
          <w:ilvl w:val="0"/>
          <w:numId w:val="4"/>
        </w:numPr>
        <w:ind w:firstLineChars="0"/>
        <w:rPr>
          <w:rFonts w:hint="default" w:ascii="Times New Roman" w:hAnsi="Times New Roman" w:cs="Times New Roman"/>
        </w:rPr>
      </w:pPr>
      <w:r>
        <w:rPr>
          <w:rFonts w:hint="default" w:ascii="Times New Roman" w:hAnsi="Times New Roman" w:cs="Times New Roman"/>
        </w:rPr>
        <w:t xml:space="preserve">经土石方平衡分析，本工程总土石方开挖共 29086.2m </w:t>
      </w:r>
      <w:r>
        <w:rPr>
          <w:rFonts w:hint="default" w:ascii="Times New Roman" w:hAnsi="Times New Roman" w:cs="Times New Roman"/>
          <w:vertAlign w:val="superscript"/>
        </w:rPr>
        <w:t xml:space="preserve">3 </w:t>
      </w:r>
      <w:r>
        <w:rPr>
          <w:rFonts w:hint="default" w:ascii="Times New Roman" w:hAnsi="Times New Roman" w:cs="Times New Roman"/>
        </w:rPr>
        <w:t xml:space="preserve">(自然方，下同)，其中包括剥离表土 3675.0 m </w:t>
      </w:r>
      <w:r>
        <w:rPr>
          <w:rFonts w:hint="default" w:ascii="Times New Roman" w:hAnsi="Times New Roman" w:cs="Times New Roman"/>
          <w:vertAlign w:val="superscript"/>
        </w:rPr>
        <w:t>3</w:t>
      </w:r>
      <w:r>
        <w:rPr>
          <w:rFonts w:hint="default" w:ascii="Times New Roman" w:hAnsi="Times New Roman" w:cs="Times New Roman"/>
        </w:rPr>
        <w:t xml:space="preserve"> ，工程土石方回填及利用 6824.3m </w:t>
      </w:r>
      <w:r>
        <w:rPr>
          <w:rFonts w:hint="default" w:ascii="Times New Roman" w:hAnsi="Times New Roman" w:cs="Times New Roman"/>
          <w:vertAlign w:val="superscript"/>
        </w:rPr>
        <w:t>3</w:t>
      </w:r>
      <w:r>
        <w:rPr>
          <w:rFonts w:hint="default" w:ascii="Times New Roman" w:hAnsi="Times New Roman" w:cs="Times New Roman"/>
        </w:rPr>
        <w:t xml:space="preserve"> ，其中包括剥离表土3675.0m </w:t>
      </w:r>
      <w:r>
        <w:rPr>
          <w:rFonts w:hint="default" w:ascii="Times New Roman" w:hAnsi="Times New Roman" w:cs="Times New Roman"/>
          <w:vertAlign w:val="superscript"/>
        </w:rPr>
        <w:t>3</w:t>
      </w:r>
      <w:r>
        <w:rPr>
          <w:rFonts w:hint="default" w:ascii="Times New Roman" w:hAnsi="Times New Roman" w:cs="Times New Roman"/>
        </w:rPr>
        <w:t xml:space="preserve"> ，弃方量（无剥离表土）为 22261.9 m </w:t>
      </w:r>
      <w:r>
        <w:rPr>
          <w:rFonts w:hint="default" w:ascii="Times New Roman" w:hAnsi="Times New Roman" w:cs="Times New Roman"/>
          <w:vertAlign w:val="superscript"/>
        </w:rPr>
        <w:t>3</w:t>
      </w:r>
      <w:r>
        <w:rPr>
          <w:rFonts w:hint="default" w:ascii="Times New Roman" w:hAnsi="Times New Roman" w:cs="Times New Roman"/>
        </w:rPr>
        <w:t xml:space="preserve"> 。本工程在实施过程中产生的临时未利用的土石方由四川中奇建筑工程有限公司运送至江阳区绕城环线规划绿地区进行处置。运输过程中要求采取对车辆运输的弃土进行遮盖，江阳区绕城环线规划绿地区的环境保护、水土保持、排水设施等一切与弃土场地相关的由四川中奇建筑工程有限公司负责，由江阳区水务局、江阳区城乡环境卫生管理局进行监管</w:t>
      </w:r>
      <w:r>
        <w:rPr>
          <w:rFonts w:hint="default" w:ascii="Times New Roman" w:hAnsi="Times New Roman" w:cs="Times New Roman"/>
          <w:szCs w:val="12"/>
        </w:rPr>
        <w:t>。</w:t>
      </w:r>
      <w:r>
        <w:rPr>
          <w:rFonts w:hint="default" w:ascii="Times New Roman" w:hAnsi="Times New Roman" w:cs="Times New Roman"/>
          <w:lang w:val="zh-CN"/>
        </w:rPr>
        <w:t>弃方堆置在规划好的弃渣场，弃渣场本次监测不涉及，</w:t>
      </w:r>
      <w:r>
        <w:rPr>
          <w:rFonts w:hint="default" w:ascii="Times New Roman" w:hAnsi="Times New Roman" w:cs="Times New Roman"/>
          <w:szCs w:val="12"/>
        </w:rPr>
        <w:t>拦渣率为9</w:t>
      </w:r>
      <w:r>
        <w:rPr>
          <w:rFonts w:hint="default" w:ascii="Times New Roman" w:hAnsi="Times New Roman" w:cs="Times New Roman"/>
          <w:szCs w:val="12"/>
          <w:lang w:val="en-US" w:eastAsia="zh-CN"/>
        </w:rPr>
        <w:t>7</w:t>
      </w:r>
      <w:r>
        <w:rPr>
          <w:rFonts w:hint="default" w:ascii="Times New Roman" w:hAnsi="Times New Roman" w:cs="Times New Roman"/>
          <w:szCs w:val="12"/>
        </w:rPr>
        <w:t>%，运输过程中造成部分弃渣沿途散溢。</w:t>
      </w:r>
    </w:p>
    <w:p>
      <w:pPr>
        <w:pStyle w:val="440"/>
        <w:numPr>
          <w:ilvl w:val="0"/>
          <w:numId w:val="4"/>
        </w:numPr>
        <w:ind w:firstLineChars="0"/>
        <w:rPr>
          <w:rFonts w:hint="default" w:ascii="Times New Roman" w:hAnsi="Times New Roman" w:cs="Times New Roman"/>
        </w:rPr>
      </w:pPr>
      <w:r>
        <w:rPr>
          <w:rFonts w:hint="default" w:ascii="Times New Roman" w:hAnsi="Times New Roman" w:cs="Times New Roman"/>
        </w:rPr>
        <w:t>项目区林草植被面积</w:t>
      </w:r>
      <w:r>
        <w:rPr>
          <w:rFonts w:hint="default" w:ascii="Times New Roman" w:hAnsi="Times New Roman" w:cs="Times New Roman"/>
          <w:lang w:val="en-US" w:eastAsia="zh-CN"/>
        </w:rPr>
        <w:t>0.48</w:t>
      </w:r>
      <w:r>
        <w:rPr>
          <w:rFonts w:hint="default" w:ascii="Times New Roman" w:hAnsi="Times New Roman" w:cs="Times New Roman"/>
        </w:rPr>
        <w:t>hm</w:t>
      </w:r>
      <w:r>
        <w:rPr>
          <w:rFonts w:hint="default" w:ascii="Times New Roman" w:hAnsi="Times New Roman" w:cs="Times New Roman"/>
          <w:vertAlign w:val="superscript"/>
        </w:rPr>
        <w:t>2</w:t>
      </w:r>
      <w:r>
        <w:rPr>
          <w:rFonts w:hint="default" w:ascii="Times New Roman" w:hAnsi="Times New Roman" w:cs="Times New Roman"/>
        </w:rPr>
        <w:t>，可恢复林草植被面积</w:t>
      </w:r>
      <w:r>
        <w:rPr>
          <w:rFonts w:hint="default" w:ascii="Times New Roman" w:hAnsi="Times New Roman" w:cs="Times New Roman"/>
          <w:lang w:val="en-US" w:eastAsia="zh-CN"/>
        </w:rPr>
        <w:t>0.48</w:t>
      </w:r>
      <w:r>
        <w:rPr>
          <w:rFonts w:hint="default" w:ascii="Times New Roman" w:hAnsi="Times New Roman" w:cs="Times New Roman"/>
        </w:rPr>
        <w:t>hm</w:t>
      </w:r>
      <w:r>
        <w:rPr>
          <w:rFonts w:hint="default" w:ascii="Times New Roman" w:hAnsi="Times New Roman" w:cs="Times New Roman"/>
          <w:vertAlign w:val="superscript"/>
        </w:rPr>
        <w:t>2</w:t>
      </w:r>
      <w:r>
        <w:rPr>
          <w:rFonts w:hint="default" w:ascii="Times New Roman" w:hAnsi="Times New Roman" w:cs="Times New Roman"/>
        </w:rPr>
        <w:t>，项目区林草植被恢复率达到100%。</w:t>
      </w:r>
    </w:p>
    <w:p>
      <w:pPr>
        <w:pStyle w:val="440"/>
        <w:numPr>
          <w:ilvl w:val="0"/>
          <w:numId w:val="4"/>
        </w:numPr>
        <w:ind w:firstLineChars="0"/>
        <w:rPr>
          <w:rFonts w:hint="default" w:ascii="Times New Roman" w:hAnsi="Times New Roman" w:cs="Times New Roman"/>
        </w:rPr>
      </w:pPr>
      <w:r>
        <w:rPr>
          <w:rFonts w:hint="default" w:ascii="Times New Roman" w:hAnsi="Times New Roman" w:cs="Times New Roman"/>
        </w:rPr>
        <w:t>林草植被面积</w:t>
      </w:r>
      <w:r>
        <w:rPr>
          <w:rFonts w:hint="default" w:ascii="Times New Roman" w:hAnsi="Times New Roman" w:cs="Times New Roman"/>
          <w:lang w:val="en-US" w:eastAsia="zh-CN"/>
        </w:rPr>
        <w:t>0.48</w:t>
      </w:r>
      <w:r>
        <w:rPr>
          <w:rFonts w:hint="default" w:ascii="Times New Roman" w:hAnsi="Times New Roman" w:cs="Times New Roman"/>
        </w:rPr>
        <w:t>hm</w:t>
      </w:r>
      <w:r>
        <w:rPr>
          <w:rFonts w:hint="default" w:ascii="Times New Roman" w:hAnsi="Times New Roman" w:cs="Times New Roman"/>
          <w:vertAlign w:val="superscript"/>
        </w:rPr>
        <w:t>2</w:t>
      </w:r>
      <w:r>
        <w:rPr>
          <w:rFonts w:hint="default" w:ascii="Times New Roman" w:hAnsi="Times New Roman" w:cs="Times New Roman"/>
        </w:rPr>
        <w:t>，项目建设区总面积</w:t>
      </w:r>
      <w:r>
        <w:rPr>
          <w:rFonts w:hint="default" w:ascii="Times New Roman" w:hAnsi="Times New Roman" w:cs="Times New Roman"/>
          <w:lang w:val="en-US" w:eastAsia="zh-CN"/>
        </w:rPr>
        <w:t>1.34</w:t>
      </w:r>
      <w:r>
        <w:rPr>
          <w:rFonts w:hint="default" w:ascii="Times New Roman" w:hAnsi="Times New Roman" w:cs="Times New Roman"/>
        </w:rPr>
        <w:t>hm</w:t>
      </w:r>
      <w:r>
        <w:rPr>
          <w:rFonts w:hint="default" w:ascii="Times New Roman" w:hAnsi="Times New Roman" w:cs="Times New Roman"/>
          <w:vertAlign w:val="superscript"/>
        </w:rPr>
        <w:t>2</w:t>
      </w:r>
      <w:r>
        <w:rPr>
          <w:rFonts w:hint="default" w:ascii="Times New Roman" w:hAnsi="Times New Roman" w:cs="Times New Roman"/>
        </w:rPr>
        <w:t>，项目区林草覆盖度达到</w:t>
      </w:r>
      <w:r>
        <w:rPr>
          <w:rFonts w:hint="default" w:ascii="Times New Roman" w:hAnsi="Times New Roman" w:cs="Times New Roman"/>
          <w:lang w:val="en-US" w:eastAsia="zh-CN"/>
        </w:rPr>
        <w:t>35.5</w:t>
      </w:r>
      <w:r>
        <w:rPr>
          <w:rFonts w:hint="default" w:ascii="Times New Roman" w:hAnsi="Times New Roman" w:cs="Times New Roman"/>
        </w:rPr>
        <w:t>%。</w:t>
      </w:r>
    </w:p>
    <w:p>
      <w:pPr>
        <w:pStyle w:val="440"/>
        <w:ind w:firstLine="480"/>
        <w:rPr>
          <w:rFonts w:hint="default" w:ascii="Times New Roman" w:hAnsi="Times New Roman" w:eastAsia="宋体" w:cs="Times New Roman"/>
        </w:rPr>
      </w:pPr>
      <w:r>
        <w:rPr>
          <w:rFonts w:hint="default" w:ascii="Times New Roman" w:hAnsi="Times New Roman" w:cs="Times New Roman"/>
        </w:rPr>
        <w:t>泸州鑫盛轻工发展有限公司</w:t>
      </w:r>
      <w:r>
        <w:rPr>
          <w:rFonts w:hint="default" w:ascii="Times New Roman" w:hAnsi="Times New Roman" w:cs="Times New Roman" w:eastAsiaTheme="minorEastAsia"/>
          <w:color w:val="auto"/>
          <w:kern w:val="2"/>
          <w:sz w:val="24"/>
          <w:szCs w:val="28"/>
          <w:lang w:val="en-US" w:eastAsia="zh-CN" w:bidi="ar-SA"/>
        </w:rPr>
        <w:t>泸州市江阳区蓝田街道重湾（干坝子）安置房建设工程</w:t>
      </w:r>
      <w:r>
        <w:rPr>
          <w:rFonts w:hint="default" w:ascii="Times New Roman" w:hAnsi="Times New Roman" w:eastAsia="宋体" w:cs="Times New Roman"/>
        </w:rPr>
        <w:t>建设主管部门和施工单位对水土保持工作十分重视，能贯彻国家水土保持法律法规。施工、管理各环节十分注意工程建设对环境的影响，科学安排土方挖填工程，施工工序安排合理，临时堆土及时处理，没有随意弃土弃渣情况，有效地降低了施工期内人为水土流失的产生，实际产生的水土流失量小于水土保持方案设计的预测值。严格按设计要求及时实施水土保持工程措施和植物措施，轻微度的水土流失没有对周边产生任何影响。</w:t>
      </w:r>
    </w:p>
    <w:p>
      <w:pPr>
        <w:pStyle w:val="440"/>
        <w:ind w:firstLine="480"/>
        <w:rPr>
          <w:rFonts w:hint="default" w:ascii="Times New Roman" w:hAnsi="Times New Roman" w:eastAsia="宋体" w:cs="Times New Roman"/>
        </w:rPr>
      </w:pPr>
      <w:r>
        <w:rPr>
          <w:rFonts w:hint="default" w:ascii="Times New Roman" w:hAnsi="Times New Roman" w:cs="Times New Roman"/>
        </w:rPr>
        <w:t>泸州鑫盛轻工发展有限公司</w:t>
      </w:r>
      <w:r>
        <w:rPr>
          <w:rFonts w:hint="default" w:ascii="Times New Roman" w:hAnsi="Times New Roman" w:cs="Times New Roman" w:eastAsiaTheme="minorEastAsia"/>
          <w:color w:val="auto"/>
          <w:kern w:val="2"/>
          <w:sz w:val="24"/>
          <w:szCs w:val="28"/>
          <w:lang w:val="en-US" w:eastAsia="zh-CN" w:bidi="ar-SA"/>
        </w:rPr>
        <w:t>泸州市江阳区蓝田街道重湾（干坝子）安置房建设工程</w:t>
      </w:r>
      <w:r>
        <w:rPr>
          <w:rFonts w:hint="default" w:ascii="Times New Roman" w:hAnsi="Times New Roman" w:eastAsia="宋体" w:cs="Times New Roman"/>
        </w:rPr>
        <w:t>建设过程中，能够落实水土保持法要求的“三同时”制度，建设单位委托</w:t>
      </w:r>
      <w:r>
        <w:rPr>
          <w:rFonts w:hint="default" w:ascii="Times New Roman" w:hAnsi="Times New Roman" w:cs="Times New Roman" w:eastAsiaTheme="minorEastAsia"/>
          <w:kern w:val="2"/>
          <w:sz w:val="24"/>
          <w:szCs w:val="28"/>
          <w:lang w:val="en-US" w:eastAsia="zh-CN" w:bidi="ar-SA"/>
        </w:rPr>
        <w:t>四川金原工程勘察设计有限公司</w:t>
      </w:r>
      <w:r>
        <w:rPr>
          <w:rFonts w:hint="default" w:ascii="Times New Roman" w:hAnsi="Times New Roman" w:eastAsia="宋体" w:cs="Times New Roman"/>
        </w:rPr>
        <w:t>编制</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w:t>
      </w:r>
      <w:r>
        <w:rPr>
          <w:rFonts w:hint="default" w:ascii="Times New Roman" w:hAnsi="Times New Roman" w:cs="Times New Roman" w:eastAsiaTheme="minorEastAsia"/>
          <w:color w:val="auto"/>
          <w:kern w:val="2"/>
          <w:sz w:val="24"/>
          <w:szCs w:val="28"/>
          <w:lang w:val="en-US" w:eastAsia="zh-CN" w:bidi="ar-SA"/>
        </w:rPr>
        <w:t>泸州市江阳区蓝田街道重湾（干坝子）安置房建设工程</w:t>
      </w:r>
      <w:r>
        <w:rPr>
          <w:rFonts w:hint="default" w:ascii="Times New Roman" w:hAnsi="Times New Roman" w:cs="Times New Roman"/>
        </w:rPr>
        <w:t>水土保持方案报告书</w:t>
      </w:r>
      <w:r>
        <w:rPr>
          <w:rFonts w:hint="default" w:ascii="Times New Roman" w:hAnsi="Times New Roman" w:eastAsia="宋体" w:cs="Times New Roman"/>
        </w:rPr>
        <w:t>》，并经</w:t>
      </w:r>
      <w:r>
        <w:rPr>
          <w:rFonts w:hint="default" w:ascii="Times New Roman" w:hAnsi="Times New Roman" w:eastAsia="宋体" w:cs="Times New Roman"/>
          <w:lang w:val="en-US" w:eastAsia="zh-CN"/>
        </w:rPr>
        <w:t>泸州市</w:t>
      </w:r>
      <w:r>
        <w:rPr>
          <w:rFonts w:hint="default" w:ascii="Times New Roman" w:hAnsi="Times New Roman" w:cs="Times New Roman"/>
        </w:rPr>
        <w:t>水土保持委员会办公室</w:t>
      </w:r>
      <w:r>
        <w:rPr>
          <w:rFonts w:hint="default" w:ascii="Times New Roman" w:hAnsi="Times New Roman" w:eastAsia="宋体" w:cs="Times New Roman"/>
        </w:rPr>
        <w:t>主持召集的专家组评审通过。工程建设中，能够按照该方案落实各项水土保持措施，接受地方水行政主管部门的检查。各项水土流失控制指标符合水土保持设计方案要求。</w:t>
      </w:r>
    </w:p>
    <w:p>
      <w:pPr>
        <w:pStyle w:val="440"/>
        <w:ind w:firstLine="480"/>
        <w:rPr>
          <w:rFonts w:hint="default" w:ascii="Times New Roman" w:hAnsi="Times New Roman" w:eastAsia="宋体" w:cs="Times New Roman"/>
        </w:rPr>
      </w:pPr>
      <w:r>
        <w:rPr>
          <w:rFonts w:hint="default" w:ascii="Times New Roman" w:hAnsi="Times New Roman" w:cs="Times New Roman"/>
        </w:rPr>
        <w:t>泸州鑫盛轻工发展有限公司</w:t>
      </w:r>
      <w:r>
        <w:rPr>
          <w:rFonts w:hint="default" w:ascii="Times New Roman" w:hAnsi="Times New Roman" w:eastAsia="宋体" w:cs="Times New Roman"/>
        </w:rPr>
        <w:t>对</w:t>
      </w:r>
      <w:r>
        <w:rPr>
          <w:rFonts w:hint="default" w:ascii="Times New Roman" w:hAnsi="Times New Roman" w:cs="Times New Roman"/>
        </w:rPr>
        <w:t>工程</w:t>
      </w:r>
      <w:r>
        <w:rPr>
          <w:rFonts w:hint="default" w:ascii="Times New Roman" w:hAnsi="Times New Roman" w:eastAsia="宋体" w:cs="Times New Roman"/>
        </w:rPr>
        <w:t>水土保持工作较为重视，按照批复的水土保持方案和有关法律法规要求开展了水土流失防治工作，有效防治了工程建设期间的水土流失。工程质量管理体系健全，设计、施工和监理的质量责任明确，管理严格，确保了水土保持设施的施工质量。水土保持设施的管理维护责任基本明确，可以保证水土保持功能的持续有效发挥。</w:t>
      </w:r>
    </w:p>
    <w:p>
      <w:pPr>
        <w:pStyle w:val="440"/>
        <w:ind w:firstLine="480"/>
        <w:rPr>
          <w:rFonts w:hint="default" w:ascii="Times New Roman" w:hAnsi="Times New Roman" w:eastAsia="宋体" w:cs="Times New Roman"/>
        </w:rPr>
      </w:pPr>
      <w:r>
        <w:rPr>
          <w:rFonts w:hint="default" w:ascii="Times New Roman" w:hAnsi="Times New Roman" w:cs="Times New Roman"/>
        </w:rPr>
        <w:t>泸州鑫盛轻工发展有限公司</w:t>
      </w:r>
      <w:r>
        <w:rPr>
          <w:rFonts w:hint="default" w:ascii="Times New Roman" w:hAnsi="Times New Roman" w:eastAsia="宋体" w:cs="Times New Roman"/>
        </w:rPr>
        <w:t>对</w:t>
      </w:r>
      <w:r>
        <w:rPr>
          <w:rFonts w:hint="default" w:ascii="Times New Roman" w:hAnsi="Times New Roman" w:cs="Times New Roman"/>
        </w:rPr>
        <w:t>项目</w:t>
      </w:r>
      <w:r>
        <w:rPr>
          <w:rFonts w:hint="default" w:ascii="Times New Roman" w:hAnsi="Times New Roman" w:cs="Times New Roman"/>
          <w:lang w:val="en-US" w:eastAsia="zh-CN"/>
        </w:rPr>
        <w:t>主体建筑区、道路广场区及景观绿化区</w:t>
      </w:r>
      <w:r>
        <w:rPr>
          <w:rFonts w:hint="default" w:ascii="Times New Roman" w:hAnsi="Times New Roman" w:cs="Times New Roman"/>
        </w:rPr>
        <w:t>防治责任范围</w:t>
      </w:r>
      <w:r>
        <w:rPr>
          <w:rFonts w:hint="default" w:ascii="Times New Roman" w:hAnsi="Times New Roman" w:eastAsia="宋体" w:cs="Times New Roman"/>
        </w:rPr>
        <w:t>的水土流失进行了较好的治理，基本完成了水土保持方案该防治范围内确定的防治任务。项目区的生态环境较工程施工期有明显改善，总体上发挥了保持水土、改善生态环境的作用。</w:t>
      </w:r>
    </w:p>
    <w:p>
      <w:pPr>
        <w:pStyle w:val="440"/>
        <w:ind w:firstLine="480"/>
        <w:rPr>
          <w:rFonts w:hint="default" w:ascii="Times New Roman" w:hAnsi="Times New Roman" w:cs="Times New Roman"/>
        </w:rPr>
      </w:pPr>
      <w:r>
        <w:rPr>
          <w:rFonts w:hint="default" w:ascii="Times New Roman" w:hAnsi="Times New Roman" w:eastAsia="宋体" w:cs="Times New Roman"/>
        </w:rPr>
        <w:t>综上所述，认为</w:t>
      </w:r>
      <w:r>
        <w:rPr>
          <w:rFonts w:hint="default" w:ascii="Times New Roman" w:hAnsi="Times New Roman" w:cs="Times New Roman"/>
        </w:rPr>
        <w:t>泸州鑫盛轻工发展有限公司</w:t>
      </w:r>
      <w:r>
        <w:rPr>
          <w:rFonts w:hint="default" w:ascii="Times New Roman" w:hAnsi="Times New Roman" w:cs="Times New Roman" w:eastAsiaTheme="minorEastAsia"/>
          <w:color w:val="auto"/>
          <w:kern w:val="2"/>
          <w:sz w:val="24"/>
          <w:szCs w:val="28"/>
          <w:lang w:val="en-US" w:eastAsia="zh-CN" w:bidi="ar-SA"/>
        </w:rPr>
        <w:t>泸州市江阳区蓝田街道重湾（干坝子）安置房建设工程</w:t>
      </w:r>
      <w:r>
        <w:rPr>
          <w:rFonts w:hint="default" w:ascii="Times New Roman" w:hAnsi="Times New Roman" w:eastAsia="宋体" w:cs="Times New Roman"/>
        </w:rPr>
        <w:t>基本完成了水土保持方案该防治范围内确定的防治任务，投资控制和使用合理，完成的各项工程安全可靠，工程质量总体合格，水土保持设施达到了国家水土保持法律法规及技术标准规定的验收条件，达到经批准的水土保持方案要求，项目水土保持设施验收通过。</w:t>
      </w:r>
    </w:p>
    <w:p>
      <w:pPr>
        <w:pStyle w:val="3"/>
        <w:rPr>
          <w:rFonts w:hint="default" w:ascii="Times New Roman" w:hAnsi="Times New Roman" w:cs="Times New Roman"/>
        </w:rPr>
      </w:pPr>
      <w:bookmarkStart w:id="76" w:name="_Toc502049602"/>
      <w:r>
        <w:rPr>
          <w:rFonts w:hint="default" w:ascii="Times New Roman" w:hAnsi="Times New Roman" w:cs="Times New Roman"/>
        </w:rPr>
        <w:t>7.2遗留问题安排</w:t>
      </w:r>
      <w:bookmarkEnd w:id="76"/>
    </w:p>
    <w:p>
      <w:pPr>
        <w:pStyle w:val="440"/>
        <w:ind w:firstLine="480"/>
        <w:rPr>
          <w:rFonts w:hint="default" w:ascii="Times New Roman" w:hAnsi="Times New Roman" w:cs="Times New Roman"/>
        </w:rPr>
      </w:pPr>
      <w:r>
        <w:rPr>
          <w:rFonts w:hint="default" w:ascii="Times New Roman" w:hAnsi="Times New Roman" w:cs="Times New Roman"/>
        </w:rPr>
        <w:t>建设单位水土保持设施管理机构应做好已实施水保措施的管护，排水沟定期清淤，植被定期养护，明确组织机构，人员和责任，防治新的水土流失发生。</w:t>
      </w:r>
      <w:bookmarkEnd w:id="17"/>
      <w:bookmarkEnd w:id="18"/>
    </w:p>
    <w:sectPr>
      <w:headerReference r:id="rId9" w:type="default"/>
      <w:pgSz w:w="11906" w:h="16838"/>
      <w:pgMar w:top="1440" w:right="1440" w:bottom="1440" w:left="170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RomanT">
    <w:panose1 w:val="00000400000000000000"/>
    <w:charset w:val="00"/>
    <w:family w:val="auto"/>
    <w:pitch w:val="default"/>
    <w:sig w:usb0="00000207" w:usb1="00000000" w:usb2="00000000" w:usb3="00000000" w:csb0="0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0344144"/>
      <w:docPartObj>
        <w:docPartGallery w:val="autotext"/>
      </w:docPartObj>
    </w:sdtPr>
    <w:sdtContent>
      <w:p>
        <w:pPr>
          <w:pStyle w:val="28"/>
          <w:jc w:val="center"/>
        </w:pPr>
        <w:r>
          <w:fldChar w:fldCharType="begin"/>
        </w:r>
        <w:r>
          <w:instrText xml:space="preserve">PAGE   \* MERGEFORMAT</w:instrText>
        </w:r>
        <w:r>
          <w:fldChar w:fldCharType="separate"/>
        </w:r>
        <w:r>
          <w:rPr>
            <w:lang w:val="zh-CN"/>
          </w:rPr>
          <w:t>3</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rFonts w:hint="eastAsia"/>
      </w:rPr>
      <w:t>泸州市江阳区蓝田</w:t>
    </w:r>
    <w:r>
      <w:rPr>
        <w:rFonts w:hint="eastAsia"/>
        <w:lang w:val="en-US" w:eastAsia="zh-CN"/>
      </w:rPr>
      <w:t>街道重湾（干坝子）</w:t>
    </w:r>
    <w:r>
      <w:rPr>
        <w:rFonts w:hint="eastAsia"/>
      </w:rPr>
      <w:t>安置房建设</w:t>
    </w:r>
    <w:r>
      <w:rPr>
        <w:rFonts w:hint="eastAsia"/>
        <w:lang w:val="en-US" w:eastAsia="zh-CN"/>
      </w:rPr>
      <w:t>工程</w:t>
    </w:r>
    <w:r>
      <w:rPr>
        <w:rFonts w:hint="eastAsia"/>
      </w:rPr>
      <w:t>水土保持设施验收技术评估报告</w:t>
    </w:r>
  </w:p>
  <w:p>
    <w:pPr>
      <w:topLinePunct/>
      <w:adjustRightInd w:val="0"/>
      <w:snapToGrid w:val="0"/>
      <w:jc w:val="left"/>
      <w:rPr>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opLinePunct/>
      <w:adjustRightInd w:val="0"/>
      <w:snapToGrid w:val="0"/>
      <w:jc w:val="left"/>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rFonts w:hint="eastAsia"/>
      </w:rPr>
      <w:t>泸州市江阳区蓝田</w:t>
    </w:r>
    <w:r>
      <w:rPr>
        <w:rFonts w:hint="eastAsia"/>
        <w:lang w:val="en-US" w:eastAsia="zh-CN"/>
      </w:rPr>
      <w:t>街道重湾（干坝子）</w:t>
    </w:r>
    <w:r>
      <w:rPr>
        <w:rFonts w:hint="eastAsia"/>
      </w:rPr>
      <w:t>安置房建设</w:t>
    </w:r>
    <w:r>
      <w:rPr>
        <w:rFonts w:hint="eastAsia"/>
        <w:lang w:val="en-US" w:eastAsia="zh-CN"/>
      </w:rPr>
      <w:t>工程</w:t>
    </w:r>
    <w:r>
      <w:rPr>
        <w:rFonts w:hint="eastAsia"/>
      </w:rPr>
      <w:t>水土保持设施验收技术评估报告</w:t>
    </w:r>
  </w:p>
  <w:p>
    <w:pPr>
      <w:topLinePunct/>
      <w:adjustRightInd w:val="0"/>
      <w:snapToGrid w:val="0"/>
      <w:jc w:val="left"/>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rFonts w:hint="eastAsia"/>
      </w:rPr>
      <w:t>泸州市江阳区蓝田</w:t>
    </w:r>
    <w:r>
      <w:rPr>
        <w:rFonts w:hint="eastAsia"/>
        <w:lang w:val="en-US" w:eastAsia="zh-CN"/>
      </w:rPr>
      <w:t>街道重湾（干坝子）</w:t>
    </w:r>
    <w:r>
      <w:rPr>
        <w:rFonts w:hint="eastAsia"/>
      </w:rPr>
      <w:t>安置房建设</w:t>
    </w:r>
    <w:r>
      <w:rPr>
        <w:rFonts w:hint="eastAsia"/>
        <w:lang w:val="en-US" w:eastAsia="zh-CN"/>
      </w:rPr>
      <w:t>工程</w:t>
    </w:r>
    <w:r>
      <w:rPr>
        <w:rFonts w:hint="eastAsia"/>
      </w:rPr>
      <w:t>水土保持设施验收技术评估报告</w:t>
    </w:r>
  </w:p>
  <w:p>
    <w:pPr>
      <w:topLinePunct/>
      <w:adjustRightInd w:val="0"/>
      <w:snapToGrid w:val="0"/>
      <w:rPr>
        <w:sz w:val="18"/>
        <w:szCs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ascii="宋体" w:hAnsi="宋体"/>
        <w:sz w:val="18"/>
        <w:szCs w:val="18"/>
        <w:u w:val="single"/>
      </w:rPr>
    </w:pPr>
    <w:r>
      <w:rPr>
        <w:rFonts w:hint="eastAsia"/>
      </w:rPr>
      <w:t>泸州市江阳区蓝田</w:t>
    </w:r>
    <w:r>
      <w:rPr>
        <w:rFonts w:hint="eastAsia"/>
        <w:lang w:val="en-US" w:eastAsia="zh-CN"/>
      </w:rPr>
      <w:t>街道重湾（干坝子）</w:t>
    </w:r>
    <w:r>
      <w:rPr>
        <w:rFonts w:hint="eastAsia"/>
      </w:rPr>
      <w:t>安置房建设</w:t>
    </w:r>
    <w:r>
      <w:rPr>
        <w:rFonts w:hint="eastAsia"/>
        <w:lang w:val="en-US" w:eastAsia="zh-CN"/>
      </w:rPr>
      <w:t>工程</w:t>
    </w:r>
    <w:r>
      <w:rPr>
        <w:rFonts w:hint="eastAsia"/>
      </w:rPr>
      <w:t>水土保持设施验收技术评估报告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F47368"/>
    <w:multiLevelType w:val="singleLevel"/>
    <w:tmpl w:val="C2F47368"/>
    <w:lvl w:ilvl="0" w:tentative="0">
      <w:start w:val="1"/>
      <w:numFmt w:val="decimal"/>
      <w:suff w:val="nothing"/>
      <w:lvlText w:val="（%1）"/>
      <w:lvlJc w:val="left"/>
    </w:lvl>
  </w:abstractNum>
  <w:abstractNum w:abstractNumId="1">
    <w:nsid w:val="54242954"/>
    <w:multiLevelType w:val="multilevel"/>
    <w:tmpl w:val="54242954"/>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756"/>
        </w:tabs>
        <w:ind w:left="756" w:hanging="576"/>
      </w:pPr>
    </w:lvl>
    <w:lvl w:ilvl="2" w:tentative="0">
      <w:start w:val="1"/>
      <w:numFmt w:val="decimal"/>
      <w:lvlText w:val="%1.%2.%3"/>
      <w:lvlJc w:val="left"/>
      <w:pPr>
        <w:tabs>
          <w:tab w:val="left" w:pos="720"/>
        </w:tabs>
        <w:ind w:left="720" w:hanging="720"/>
      </w:pPr>
      <w:rPr>
        <w:color w:val="auto"/>
        <w:sz w:val="24"/>
        <w:szCs w:val="24"/>
      </w:rPr>
    </w:lvl>
    <w:lvl w:ilvl="3" w:tentative="0">
      <w:start w:val="1"/>
      <w:numFmt w:val="decimal"/>
      <w:pStyle w:val="5"/>
      <w:lvlText w:val="%1.%2.%3.%4"/>
      <w:lvlJc w:val="left"/>
      <w:pPr>
        <w:tabs>
          <w:tab w:val="left" w:pos="3133"/>
        </w:tabs>
        <w:ind w:left="3133"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65DE2F57"/>
    <w:multiLevelType w:val="multilevel"/>
    <w:tmpl w:val="65DE2F57"/>
    <w:lvl w:ilvl="0" w:tentative="0">
      <w:start w:val="1"/>
      <w:numFmt w:val="decimalEnclosedCircle"/>
      <w:lvlText w:val="%1"/>
      <w:lvlJc w:val="left"/>
      <w:pPr>
        <w:ind w:left="840" w:hanging="360"/>
      </w:pPr>
      <w:rPr>
        <w:rFonts w:hint="default"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7E2A70E8"/>
    <w:multiLevelType w:val="singleLevel"/>
    <w:tmpl w:val="7E2A70E8"/>
    <w:lvl w:ilvl="0" w:tentative="0">
      <w:start w:val="1"/>
      <w:numFmt w:val="decimal"/>
      <w:pStyle w:val="218"/>
      <w:lvlText w:val="%1)"/>
      <w:lvlJc w:val="left"/>
      <w:pPr>
        <w:tabs>
          <w:tab w:val="left" w:pos="870"/>
        </w:tabs>
        <w:ind w:left="0" w:firstLine="510"/>
      </w:pPr>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80136"/>
    <w:rsid w:val="000004F1"/>
    <w:rsid w:val="00000685"/>
    <w:rsid w:val="0000075A"/>
    <w:rsid w:val="00000828"/>
    <w:rsid w:val="000008E5"/>
    <w:rsid w:val="000008E8"/>
    <w:rsid w:val="00000D98"/>
    <w:rsid w:val="00000DE7"/>
    <w:rsid w:val="00000E05"/>
    <w:rsid w:val="00000F4B"/>
    <w:rsid w:val="00000F78"/>
    <w:rsid w:val="0000114D"/>
    <w:rsid w:val="000011A7"/>
    <w:rsid w:val="000014BD"/>
    <w:rsid w:val="00001793"/>
    <w:rsid w:val="000019FC"/>
    <w:rsid w:val="00001BA3"/>
    <w:rsid w:val="000027CE"/>
    <w:rsid w:val="00002B13"/>
    <w:rsid w:val="00002B90"/>
    <w:rsid w:val="00002DC5"/>
    <w:rsid w:val="00002DDD"/>
    <w:rsid w:val="00002F48"/>
    <w:rsid w:val="00002F67"/>
    <w:rsid w:val="0000319F"/>
    <w:rsid w:val="000031A9"/>
    <w:rsid w:val="000031D4"/>
    <w:rsid w:val="00003211"/>
    <w:rsid w:val="0000334A"/>
    <w:rsid w:val="00003597"/>
    <w:rsid w:val="00003702"/>
    <w:rsid w:val="00003775"/>
    <w:rsid w:val="000038BB"/>
    <w:rsid w:val="00003A49"/>
    <w:rsid w:val="00003B21"/>
    <w:rsid w:val="00003B77"/>
    <w:rsid w:val="00003F92"/>
    <w:rsid w:val="00004111"/>
    <w:rsid w:val="000042DE"/>
    <w:rsid w:val="00004350"/>
    <w:rsid w:val="000044DD"/>
    <w:rsid w:val="00004776"/>
    <w:rsid w:val="000047B9"/>
    <w:rsid w:val="00004860"/>
    <w:rsid w:val="00004C87"/>
    <w:rsid w:val="00004DBA"/>
    <w:rsid w:val="0000501F"/>
    <w:rsid w:val="000051FA"/>
    <w:rsid w:val="000052AD"/>
    <w:rsid w:val="000055D1"/>
    <w:rsid w:val="000056E4"/>
    <w:rsid w:val="000059CF"/>
    <w:rsid w:val="00005C6A"/>
    <w:rsid w:val="00005C71"/>
    <w:rsid w:val="00005CAE"/>
    <w:rsid w:val="00005E1C"/>
    <w:rsid w:val="00005F47"/>
    <w:rsid w:val="0000603E"/>
    <w:rsid w:val="000063F1"/>
    <w:rsid w:val="0000662D"/>
    <w:rsid w:val="00006686"/>
    <w:rsid w:val="0000692C"/>
    <w:rsid w:val="00006A47"/>
    <w:rsid w:val="00006AA8"/>
    <w:rsid w:val="00006B44"/>
    <w:rsid w:val="00007062"/>
    <w:rsid w:val="000070FA"/>
    <w:rsid w:val="000071CC"/>
    <w:rsid w:val="000072BC"/>
    <w:rsid w:val="00007386"/>
    <w:rsid w:val="000073AF"/>
    <w:rsid w:val="0000758C"/>
    <w:rsid w:val="000076D1"/>
    <w:rsid w:val="000077A6"/>
    <w:rsid w:val="000079A7"/>
    <w:rsid w:val="00007BAA"/>
    <w:rsid w:val="00007FFC"/>
    <w:rsid w:val="00010004"/>
    <w:rsid w:val="00010235"/>
    <w:rsid w:val="0001057A"/>
    <w:rsid w:val="00010704"/>
    <w:rsid w:val="0001071D"/>
    <w:rsid w:val="00010727"/>
    <w:rsid w:val="00010760"/>
    <w:rsid w:val="00010B23"/>
    <w:rsid w:val="00010E74"/>
    <w:rsid w:val="00010F74"/>
    <w:rsid w:val="00011284"/>
    <w:rsid w:val="00011477"/>
    <w:rsid w:val="000115AA"/>
    <w:rsid w:val="00011820"/>
    <w:rsid w:val="000118EC"/>
    <w:rsid w:val="00011979"/>
    <w:rsid w:val="00011B7E"/>
    <w:rsid w:val="0001209D"/>
    <w:rsid w:val="000121FF"/>
    <w:rsid w:val="00012250"/>
    <w:rsid w:val="0001232E"/>
    <w:rsid w:val="00012942"/>
    <w:rsid w:val="0001295B"/>
    <w:rsid w:val="00012AD7"/>
    <w:rsid w:val="00012B7E"/>
    <w:rsid w:val="00012CAF"/>
    <w:rsid w:val="00012EE1"/>
    <w:rsid w:val="00012F9E"/>
    <w:rsid w:val="00013185"/>
    <w:rsid w:val="00013375"/>
    <w:rsid w:val="0001349E"/>
    <w:rsid w:val="000135A1"/>
    <w:rsid w:val="00013729"/>
    <w:rsid w:val="0001375A"/>
    <w:rsid w:val="00013917"/>
    <w:rsid w:val="00013B6E"/>
    <w:rsid w:val="00013DB0"/>
    <w:rsid w:val="00013E8B"/>
    <w:rsid w:val="00013F53"/>
    <w:rsid w:val="00014238"/>
    <w:rsid w:val="00014311"/>
    <w:rsid w:val="00014363"/>
    <w:rsid w:val="0001470F"/>
    <w:rsid w:val="00014865"/>
    <w:rsid w:val="0001497A"/>
    <w:rsid w:val="00014A7F"/>
    <w:rsid w:val="00014C4E"/>
    <w:rsid w:val="00014C54"/>
    <w:rsid w:val="00014F32"/>
    <w:rsid w:val="00014F3C"/>
    <w:rsid w:val="00015042"/>
    <w:rsid w:val="0001560F"/>
    <w:rsid w:val="00015890"/>
    <w:rsid w:val="000159A3"/>
    <w:rsid w:val="00015AA6"/>
    <w:rsid w:val="00015AA8"/>
    <w:rsid w:val="00015C4C"/>
    <w:rsid w:val="00015E9E"/>
    <w:rsid w:val="00015FAA"/>
    <w:rsid w:val="0001605E"/>
    <w:rsid w:val="000162E6"/>
    <w:rsid w:val="00016366"/>
    <w:rsid w:val="00016500"/>
    <w:rsid w:val="000167C3"/>
    <w:rsid w:val="00016835"/>
    <w:rsid w:val="00016850"/>
    <w:rsid w:val="00016935"/>
    <w:rsid w:val="00016997"/>
    <w:rsid w:val="000169D2"/>
    <w:rsid w:val="00016DE9"/>
    <w:rsid w:val="0001702E"/>
    <w:rsid w:val="0001705C"/>
    <w:rsid w:val="000170B0"/>
    <w:rsid w:val="0001716D"/>
    <w:rsid w:val="00017315"/>
    <w:rsid w:val="00017425"/>
    <w:rsid w:val="000175FC"/>
    <w:rsid w:val="000177BD"/>
    <w:rsid w:val="00017843"/>
    <w:rsid w:val="000179A8"/>
    <w:rsid w:val="00017BD3"/>
    <w:rsid w:val="00017EE3"/>
    <w:rsid w:val="00017F2E"/>
    <w:rsid w:val="000201F1"/>
    <w:rsid w:val="00020639"/>
    <w:rsid w:val="00020B19"/>
    <w:rsid w:val="00020D72"/>
    <w:rsid w:val="00020DF6"/>
    <w:rsid w:val="00020E8C"/>
    <w:rsid w:val="00020F10"/>
    <w:rsid w:val="000213B1"/>
    <w:rsid w:val="00021445"/>
    <w:rsid w:val="0002144A"/>
    <w:rsid w:val="00021486"/>
    <w:rsid w:val="0002177D"/>
    <w:rsid w:val="0002184A"/>
    <w:rsid w:val="00021AB1"/>
    <w:rsid w:val="00021AF5"/>
    <w:rsid w:val="00021C21"/>
    <w:rsid w:val="00021CC6"/>
    <w:rsid w:val="000220BC"/>
    <w:rsid w:val="0002225D"/>
    <w:rsid w:val="00022300"/>
    <w:rsid w:val="000224AE"/>
    <w:rsid w:val="000224FB"/>
    <w:rsid w:val="00022971"/>
    <w:rsid w:val="0002299B"/>
    <w:rsid w:val="00022AC5"/>
    <w:rsid w:val="00022AF5"/>
    <w:rsid w:val="00022BB2"/>
    <w:rsid w:val="00022FBA"/>
    <w:rsid w:val="000230F9"/>
    <w:rsid w:val="00023211"/>
    <w:rsid w:val="00023377"/>
    <w:rsid w:val="000235A5"/>
    <w:rsid w:val="000236A1"/>
    <w:rsid w:val="00023A79"/>
    <w:rsid w:val="00023C8A"/>
    <w:rsid w:val="00023D1B"/>
    <w:rsid w:val="00023D2B"/>
    <w:rsid w:val="00023FFA"/>
    <w:rsid w:val="00024181"/>
    <w:rsid w:val="000242A1"/>
    <w:rsid w:val="000242B0"/>
    <w:rsid w:val="000242CB"/>
    <w:rsid w:val="00024449"/>
    <w:rsid w:val="000247BB"/>
    <w:rsid w:val="000248BC"/>
    <w:rsid w:val="00024909"/>
    <w:rsid w:val="00024B4A"/>
    <w:rsid w:val="00024B71"/>
    <w:rsid w:val="00024BA0"/>
    <w:rsid w:val="00024D77"/>
    <w:rsid w:val="00024DF4"/>
    <w:rsid w:val="00025120"/>
    <w:rsid w:val="00025247"/>
    <w:rsid w:val="00025330"/>
    <w:rsid w:val="00025334"/>
    <w:rsid w:val="00025B5E"/>
    <w:rsid w:val="00025E50"/>
    <w:rsid w:val="00025F0D"/>
    <w:rsid w:val="00026030"/>
    <w:rsid w:val="000261BB"/>
    <w:rsid w:val="00026259"/>
    <w:rsid w:val="0002667B"/>
    <w:rsid w:val="00026715"/>
    <w:rsid w:val="000267C0"/>
    <w:rsid w:val="00026841"/>
    <w:rsid w:val="000269F5"/>
    <w:rsid w:val="00026B25"/>
    <w:rsid w:val="00026B55"/>
    <w:rsid w:val="00026BC9"/>
    <w:rsid w:val="00026C6C"/>
    <w:rsid w:val="00026E9B"/>
    <w:rsid w:val="00026F8F"/>
    <w:rsid w:val="0002715E"/>
    <w:rsid w:val="00027516"/>
    <w:rsid w:val="00027552"/>
    <w:rsid w:val="000277F4"/>
    <w:rsid w:val="00027803"/>
    <w:rsid w:val="00027844"/>
    <w:rsid w:val="00027848"/>
    <w:rsid w:val="000279D4"/>
    <w:rsid w:val="00027A09"/>
    <w:rsid w:val="00027A1A"/>
    <w:rsid w:val="00027B7D"/>
    <w:rsid w:val="00027DF5"/>
    <w:rsid w:val="00030149"/>
    <w:rsid w:val="000302B0"/>
    <w:rsid w:val="000304BC"/>
    <w:rsid w:val="00030664"/>
    <w:rsid w:val="0003076D"/>
    <w:rsid w:val="00030846"/>
    <w:rsid w:val="00030AAC"/>
    <w:rsid w:val="00030D3C"/>
    <w:rsid w:val="00030F0A"/>
    <w:rsid w:val="00030F54"/>
    <w:rsid w:val="00031128"/>
    <w:rsid w:val="000313AE"/>
    <w:rsid w:val="00031C7A"/>
    <w:rsid w:val="00031C90"/>
    <w:rsid w:val="00031DDD"/>
    <w:rsid w:val="0003204D"/>
    <w:rsid w:val="000322B0"/>
    <w:rsid w:val="000325FC"/>
    <w:rsid w:val="00032813"/>
    <w:rsid w:val="00032A3B"/>
    <w:rsid w:val="00032B66"/>
    <w:rsid w:val="00032E9B"/>
    <w:rsid w:val="00032F56"/>
    <w:rsid w:val="00033232"/>
    <w:rsid w:val="00033341"/>
    <w:rsid w:val="00033480"/>
    <w:rsid w:val="00033DF9"/>
    <w:rsid w:val="0003412C"/>
    <w:rsid w:val="0003428A"/>
    <w:rsid w:val="00034859"/>
    <w:rsid w:val="000348B0"/>
    <w:rsid w:val="00034AF6"/>
    <w:rsid w:val="00034B30"/>
    <w:rsid w:val="00034B87"/>
    <w:rsid w:val="00034BC5"/>
    <w:rsid w:val="00034C00"/>
    <w:rsid w:val="00034C88"/>
    <w:rsid w:val="0003524D"/>
    <w:rsid w:val="000354F1"/>
    <w:rsid w:val="000355CE"/>
    <w:rsid w:val="000357C8"/>
    <w:rsid w:val="00035B06"/>
    <w:rsid w:val="00035C34"/>
    <w:rsid w:val="00035E98"/>
    <w:rsid w:val="00035EB6"/>
    <w:rsid w:val="00035F2F"/>
    <w:rsid w:val="00036028"/>
    <w:rsid w:val="0003614D"/>
    <w:rsid w:val="00036157"/>
    <w:rsid w:val="00036421"/>
    <w:rsid w:val="00036486"/>
    <w:rsid w:val="000364A7"/>
    <w:rsid w:val="0003690C"/>
    <w:rsid w:val="00036AA3"/>
    <w:rsid w:val="00036B43"/>
    <w:rsid w:val="00036CA6"/>
    <w:rsid w:val="00036CB1"/>
    <w:rsid w:val="00036DD6"/>
    <w:rsid w:val="00036E2C"/>
    <w:rsid w:val="00037204"/>
    <w:rsid w:val="0003735B"/>
    <w:rsid w:val="0003749F"/>
    <w:rsid w:val="0003763C"/>
    <w:rsid w:val="00037695"/>
    <w:rsid w:val="000377EF"/>
    <w:rsid w:val="00037990"/>
    <w:rsid w:val="000379F0"/>
    <w:rsid w:val="00037E85"/>
    <w:rsid w:val="00040114"/>
    <w:rsid w:val="0004017B"/>
    <w:rsid w:val="00040540"/>
    <w:rsid w:val="00040556"/>
    <w:rsid w:val="00040D13"/>
    <w:rsid w:val="00040D26"/>
    <w:rsid w:val="00040D37"/>
    <w:rsid w:val="00040D46"/>
    <w:rsid w:val="00040EF4"/>
    <w:rsid w:val="00040F6C"/>
    <w:rsid w:val="00041391"/>
    <w:rsid w:val="000413E9"/>
    <w:rsid w:val="000418A2"/>
    <w:rsid w:val="00041A7B"/>
    <w:rsid w:val="00041B14"/>
    <w:rsid w:val="00041B37"/>
    <w:rsid w:val="00041B58"/>
    <w:rsid w:val="00041E46"/>
    <w:rsid w:val="00041E77"/>
    <w:rsid w:val="00041F02"/>
    <w:rsid w:val="00041F9E"/>
    <w:rsid w:val="0004206B"/>
    <w:rsid w:val="0004207C"/>
    <w:rsid w:val="000420D1"/>
    <w:rsid w:val="000420E7"/>
    <w:rsid w:val="000421C3"/>
    <w:rsid w:val="00042472"/>
    <w:rsid w:val="00042481"/>
    <w:rsid w:val="000424E8"/>
    <w:rsid w:val="000426F9"/>
    <w:rsid w:val="000427A8"/>
    <w:rsid w:val="000427E3"/>
    <w:rsid w:val="000428FA"/>
    <w:rsid w:val="00042A7F"/>
    <w:rsid w:val="00042B7A"/>
    <w:rsid w:val="00042B88"/>
    <w:rsid w:val="00042BAE"/>
    <w:rsid w:val="00042BC1"/>
    <w:rsid w:val="00042C2B"/>
    <w:rsid w:val="00042CC4"/>
    <w:rsid w:val="00043070"/>
    <w:rsid w:val="000430BC"/>
    <w:rsid w:val="00043356"/>
    <w:rsid w:val="0004353F"/>
    <w:rsid w:val="00043654"/>
    <w:rsid w:val="000439D1"/>
    <w:rsid w:val="00043A7E"/>
    <w:rsid w:val="00043BC8"/>
    <w:rsid w:val="00043C27"/>
    <w:rsid w:val="00043C34"/>
    <w:rsid w:val="00044485"/>
    <w:rsid w:val="00044570"/>
    <w:rsid w:val="00044830"/>
    <w:rsid w:val="00044836"/>
    <w:rsid w:val="00044982"/>
    <w:rsid w:val="00044B10"/>
    <w:rsid w:val="00044B61"/>
    <w:rsid w:val="00044C9E"/>
    <w:rsid w:val="00044D52"/>
    <w:rsid w:val="00044F48"/>
    <w:rsid w:val="000450D0"/>
    <w:rsid w:val="00045120"/>
    <w:rsid w:val="00045726"/>
    <w:rsid w:val="00045B39"/>
    <w:rsid w:val="00045BF8"/>
    <w:rsid w:val="00045C2F"/>
    <w:rsid w:val="00045CEA"/>
    <w:rsid w:val="00045CEE"/>
    <w:rsid w:val="00046031"/>
    <w:rsid w:val="00046371"/>
    <w:rsid w:val="000464DE"/>
    <w:rsid w:val="00046567"/>
    <w:rsid w:val="00046576"/>
    <w:rsid w:val="00046AE8"/>
    <w:rsid w:val="00046B70"/>
    <w:rsid w:val="00046EC5"/>
    <w:rsid w:val="00047154"/>
    <w:rsid w:val="00047199"/>
    <w:rsid w:val="00047263"/>
    <w:rsid w:val="000474A6"/>
    <w:rsid w:val="0004776F"/>
    <w:rsid w:val="00047CA2"/>
    <w:rsid w:val="00047D45"/>
    <w:rsid w:val="00047DE3"/>
    <w:rsid w:val="00050065"/>
    <w:rsid w:val="00050269"/>
    <w:rsid w:val="00050510"/>
    <w:rsid w:val="00050872"/>
    <w:rsid w:val="00050B33"/>
    <w:rsid w:val="0005121F"/>
    <w:rsid w:val="000512B0"/>
    <w:rsid w:val="00051392"/>
    <w:rsid w:val="00051394"/>
    <w:rsid w:val="000513CC"/>
    <w:rsid w:val="000513FA"/>
    <w:rsid w:val="000514F7"/>
    <w:rsid w:val="00051577"/>
    <w:rsid w:val="000515B0"/>
    <w:rsid w:val="00051616"/>
    <w:rsid w:val="0005179C"/>
    <w:rsid w:val="000517C6"/>
    <w:rsid w:val="000518A2"/>
    <w:rsid w:val="0005270E"/>
    <w:rsid w:val="0005283A"/>
    <w:rsid w:val="00052882"/>
    <w:rsid w:val="000529F9"/>
    <w:rsid w:val="00052B1B"/>
    <w:rsid w:val="00052C3A"/>
    <w:rsid w:val="00052C87"/>
    <w:rsid w:val="00052E14"/>
    <w:rsid w:val="0005317F"/>
    <w:rsid w:val="000531D5"/>
    <w:rsid w:val="0005325A"/>
    <w:rsid w:val="00053381"/>
    <w:rsid w:val="00053645"/>
    <w:rsid w:val="000536B5"/>
    <w:rsid w:val="0005373F"/>
    <w:rsid w:val="0005397B"/>
    <w:rsid w:val="000539A5"/>
    <w:rsid w:val="000539F2"/>
    <w:rsid w:val="00053BF5"/>
    <w:rsid w:val="000541EF"/>
    <w:rsid w:val="00054455"/>
    <w:rsid w:val="0005456C"/>
    <w:rsid w:val="00054729"/>
    <w:rsid w:val="00054758"/>
    <w:rsid w:val="00054785"/>
    <w:rsid w:val="000549AE"/>
    <w:rsid w:val="000549F4"/>
    <w:rsid w:val="00054B29"/>
    <w:rsid w:val="00054B46"/>
    <w:rsid w:val="00054C68"/>
    <w:rsid w:val="00054EBC"/>
    <w:rsid w:val="00055363"/>
    <w:rsid w:val="00055494"/>
    <w:rsid w:val="0005587C"/>
    <w:rsid w:val="00055C06"/>
    <w:rsid w:val="00055E8D"/>
    <w:rsid w:val="00055FFB"/>
    <w:rsid w:val="00056107"/>
    <w:rsid w:val="00056125"/>
    <w:rsid w:val="000561A1"/>
    <w:rsid w:val="00056270"/>
    <w:rsid w:val="000562AB"/>
    <w:rsid w:val="00056326"/>
    <w:rsid w:val="00056343"/>
    <w:rsid w:val="00056612"/>
    <w:rsid w:val="00056787"/>
    <w:rsid w:val="00056A71"/>
    <w:rsid w:val="00056D88"/>
    <w:rsid w:val="00056DA5"/>
    <w:rsid w:val="00056DFB"/>
    <w:rsid w:val="00056F28"/>
    <w:rsid w:val="0005704B"/>
    <w:rsid w:val="00057201"/>
    <w:rsid w:val="000572F7"/>
    <w:rsid w:val="000573B6"/>
    <w:rsid w:val="00057601"/>
    <w:rsid w:val="00057853"/>
    <w:rsid w:val="00057B1C"/>
    <w:rsid w:val="00057BC9"/>
    <w:rsid w:val="00057D94"/>
    <w:rsid w:val="00060293"/>
    <w:rsid w:val="0006035C"/>
    <w:rsid w:val="000603C9"/>
    <w:rsid w:val="000604E2"/>
    <w:rsid w:val="000604E6"/>
    <w:rsid w:val="0006065F"/>
    <w:rsid w:val="000606E1"/>
    <w:rsid w:val="00060900"/>
    <w:rsid w:val="00060A4F"/>
    <w:rsid w:val="00060C6E"/>
    <w:rsid w:val="00060F93"/>
    <w:rsid w:val="000613E0"/>
    <w:rsid w:val="00061423"/>
    <w:rsid w:val="0006143A"/>
    <w:rsid w:val="00061779"/>
    <w:rsid w:val="000618D1"/>
    <w:rsid w:val="000618F3"/>
    <w:rsid w:val="00061B6E"/>
    <w:rsid w:val="00061C42"/>
    <w:rsid w:val="00061CD9"/>
    <w:rsid w:val="000620DC"/>
    <w:rsid w:val="0006219E"/>
    <w:rsid w:val="0006228E"/>
    <w:rsid w:val="000623A0"/>
    <w:rsid w:val="00062471"/>
    <w:rsid w:val="00062575"/>
    <w:rsid w:val="0006258C"/>
    <w:rsid w:val="000625CA"/>
    <w:rsid w:val="0006266A"/>
    <w:rsid w:val="000627B4"/>
    <w:rsid w:val="00062CBA"/>
    <w:rsid w:val="00062D9B"/>
    <w:rsid w:val="00062E56"/>
    <w:rsid w:val="00062EF3"/>
    <w:rsid w:val="00063150"/>
    <w:rsid w:val="0006316D"/>
    <w:rsid w:val="000633EE"/>
    <w:rsid w:val="000634D6"/>
    <w:rsid w:val="00063530"/>
    <w:rsid w:val="00063884"/>
    <w:rsid w:val="000638EA"/>
    <w:rsid w:val="00063ABA"/>
    <w:rsid w:val="00063B37"/>
    <w:rsid w:val="00063B4E"/>
    <w:rsid w:val="00063D05"/>
    <w:rsid w:val="00063E6E"/>
    <w:rsid w:val="00064476"/>
    <w:rsid w:val="00064593"/>
    <w:rsid w:val="000647C5"/>
    <w:rsid w:val="00064A42"/>
    <w:rsid w:val="00064CA9"/>
    <w:rsid w:val="00064D73"/>
    <w:rsid w:val="00064E04"/>
    <w:rsid w:val="00064EAB"/>
    <w:rsid w:val="00064F5F"/>
    <w:rsid w:val="00064FD2"/>
    <w:rsid w:val="00065187"/>
    <w:rsid w:val="000654ED"/>
    <w:rsid w:val="0006552D"/>
    <w:rsid w:val="00065543"/>
    <w:rsid w:val="00065567"/>
    <w:rsid w:val="000656CB"/>
    <w:rsid w:val="000656F5"/>
    <w:rsid w:val="00065DF0"/>
    <w:rsid w:val="00065EFF"/>
    <w:rsid w:val="0006604B"/>
    <w:rsid w:val="00066076"/>
    <w:rsid w:val="000660D8"/>
    <w:rsid w:val="00066222"/>
    <w:rsid w:val="0006664F"/>
    <w:rsid w:val="000667CD"/>
    <w:rsid w:val="000668BA"/>
    <w:rsid w:val="000668E4"/>
    <w:rsid w:val="00066A2B"/>
    <w:rsid w:val="00066E29"/>
    <w:rsid w:val="00066FFC"/>
    <w:rsid w:val="000675F5"/>
    <w:rsid w:val="000678BA"/>
    <w:rsid w:val="0006791B"/>
    <w:rsid w:val="00067A89"/>
    <w:rsid w:val="00067BB0"/>
    <w:rsid w:val="00067BD0"/>
    <w:rsid w:val="00067BF0"/>
    <w:rsid w:val="00067C83"/>
    <w:rsid w:val="00067D3E"/>
    <w:rsid w:val="00067F18"/>
    <w:rsid w:val="000700C1"/>
    <w:rsid w:val="0007011D"/>
    <w:rsid w:val="000703F1"/>
    <w:rsid w:val="00070565"/>
    <w:rsid w:val="000706B1"/>
    <w:rsid w:val="00070963"/>
    <w:rsid w:val="00070991"/>
    <w:rsid w:val="000709ED"/>
    <w:rsid w:val="00070B14"/>
    <w:rsid w:val="00071036"/>
    <w:rsid w:val="0007103F"/>
    <w:rsid w:val="000710FE"/>
    <w:rsid w:val="000710FF"/>
    <w:rsid w:val="0007120D"/>
    <w:rsid w:val="000715D9"/>
    <w:rsid w:val="00071902"/>
    <w:rsid w:val="00071D04"/>
    <w:rsid w:val="00071DC4"/>
    <w:rsid w:val="00071DF8"/>
    <w:rsid w:val="00071EF1"/>
    <w:rsid w:val="00072085"/>
    <w:rsid w:val="000728B8"/>
    <w:rsid w:val="000728DB"/>
    <w:rsid w:val="00072A27"/>
    <w:rsid w:val="00072B23"/>
    <w:rsid w:val="00072C5A"/>
    <w:rsid w:val="00072CD5"/>
    <w:rsid w:val="000730AE"/>
    <w:rsid w:val="000730B3"/>
    <w:rsid w:val="0007335B"/>
    <w:rsid w:val="00073385"/>
    <w:rsid w:val="00073488"/>
    <w:rsid w:val="0007362B"/>
    <w:rsid w:val="00073785"/>
    <w:rsid w:val="00073900"/>
    <w:rsid w:val="00073A2F"/>
    <w:rsid w:val="00073B37"/>
    <w:rsid w:val="00073D68"/>
    <w:rsid w:val="00074083"/>
    <w:rsid w:val="00074240"/>
    <w:rsid w:val="00074338"/>
    <w:rsid w:val="000743AF"/>
    <w:rsid w:val="00074798"/>
    <w:rsid w:val="0007492F"/>
    <w:rsid w:val="00075448"/>
    <w:rsid w:val="00075564"/>
    <w:rsid w:val="000755DB"/>
    <w:rsid w:val="0007574B"/>
    <w:rsid w:val="00075A2C"/>
    <w:rsid w:val="00075C13"/>
    <w:rsid w:val="00076044"/>
    <w:rsid w:val="0007618E"/>
    <w:rsid w:val="000761A3"/>
    <w:rsid w:val="000763CC"/>
    <w:rsid w:val="00076A48"/>
    <w:rsid w:val="00076C28"/>
    <w:rsid w:val="00076E04"/>
    <w:rsid w:val="0007720D"/>
    <w:rsid w:val="000772E7"/>
    <w:rsid w:val="000773E8"/>
    <w:rsid w:val="00077665"/>
    <w:rsid w:val="0007793A"/>
    <w:rsid w:val="00077F48"/>
    <w:rsid w:val="00080033"/>
    <w:rsid w:val="00080190"/>
    <w:rsid w:val="000803EF"/>
    <w:rsid w:val="0008040A"/>
    <w:rsid w:val="00080588"/>
    <w:rsid w:val="0008062C"/>
    <w:rsid w:val="000809DE"/>
    <w:rsid w:val="00080BE5"/>
    <w:rsid w:val="00080DD5"/>
    <w:rsid w:val="00080EBD"/>
    <w:rsid w:val="000810D5"/>
    <w:rsid w:val="000815F1"/>
    <w:rsid w:val="00081699"/>
    <w:rsid w:val="00081736"/>
    <w:rsid w:val="0008174C"/>
    <w:rsid w:val="000817C7"/>
    <w:rsid w:val="0008193E"/>
    <w:rsid w:val="00081D86"/>
    <w:rsid w:val="00081F68"/>
    <w:rsid w:val="00081FB3"/>
    <w:rsid w:val="000820A3"/>
    <w:rsid w:val="00082326"/>
    <w:rsid w:val="00082A1B"/>
    <w:rsid w:val="00082AE6"/>
    <w:rsid w:val="00082BD7"/>
    <w:rsid w:val="00082C21"/>
    <w:rsid w:val="00082D55"/>
    <w:rsid w:val="00083014"/>
    <w:rsid w:val="00083035"/>
    <w:rsid w:val="00083319"/>
    <w:rsid w:val="0008344D"/>
    <w:rsid w:val="00083888"/>
    <w:rsid w:val="00083A9F"/>
    <w:rsid w:val="00083AB3"/>
    <w:rsid w:val="00083D6B"/>
    <w:rsid w:val="00083EFB"/>
    <w:rsid w:val="00083F1D"/>
    <w:rsid w:val="00084451"/>
    <w:rsid w:val="000846FD"/>
    <w:rsid w:val="00084767"/>
    <w:rsid w:val="0008481B"/>
    <w:rsid w:val="00084889"/>
    <w:rsid w:val="00084D9A"/>
    <w:rsid w:val="00084FA4"/>
    <w:rsid w:val="00084FAD"/>
    <w:rsid w:val="00085086"/>
    <w:rsid w:val="00085663"/>
    <w:rsid w:val="0008570E"/>
    <w:rsid w:val="000858B4"/>
    <w:rsid w:val="00085A55"/>
    <w:rsid w:val="00085ABE"/>
    <w:rsid w:val="00085C39"/>
    <w:rsid w:val="00085CAC"/>
    <w:rsid w:val="00085F7B"/>
    <w:rsid w:val="00085FD2"/>
    <w:rsid w:val="00086019"/>
    <w:rsid w:val="00086284"/>
    <w:rsid w:val="000864D0"/>
    <w:rsid w:val="000865E3"/>
    <w:rsid w:val="00086972"/>
    <w:rsid w:val="00086A38"/>
    <w:rsid w:val="00086A7D"/>
    <w:rsid w:val="00086B30"/>
    <w:rsid w:val="00086B74"/>
    <w:rsid w:val="00086BAE"/>
    <w:rsid w:val="00086C90"/>
    <w:rsid w:val="00086D69"/>
    <w:rsid w:val="00086EB9"/>
    <w:rsid w:val="00086FFD"/>
    <w:rsid w:val="00087194"/>
    <w:rsid w:val="000872C1"/>
    <w:rsid w:val="0008732F"/>
    <w:rsid w:val="000876A2"/>
    <w:rsid w:val="000876EA"/>
    <w:rsid w:val="00087755"/>
    <w:rsid w:val="00087C8F"/>
    <w:rsid w:val="00087D34"/>
    <w:rsid w:val="000901CA"/>
    <w:rsid w:val="000905DF"/>
    <w:rsid w:val="00090924"/>
    <w:rsid w:val="00090963"/>
    <w:rsid w:val="000909ED"/>
    <w:rsid w:val="00090BC5"/>
    <w:rsid w:val="00090E92"/>
    <w:rsid w:val="00090EAF"/>
    <w:rsid w:val="000910EE"/>
    <w:rsid w:val="000911B6"/>
    <w:rsid w:val="00091309"/>
    <w:rsid w:val="0009168C"/>
    <w:rsid w:val="00091852"/>
    <w:rsid w:val="00091861"/>
    <w:rsid w:val="00091D43"/>
    <w:rsid w:val="0009201D"/>
    <w:rsid w:val="00092042"/>
    <w:rsid w:val="000920A6"/>
    <w:rsid w:val="0009212B"/>
    <w:rsid w:val="00092831"/>
    <w:rsid w:val="00092848"/>
    <w:rsid w:val="00092A65"/>
    <w:rsid w:val="00092AEF"/>
    <w:rsid w:val="00092BC5"/>
    <w:rsid w:val="00092DFD"/>
    <w:rsid w:val="00092E79"/>
    <w:rsid w:val="00092FF5"/>
    <w:rsid w:val="00093230"/>
    <w:rsid w:val="00093323"/>
    <w:rsid w:val="0009348F"/>
    <w:rsid w:val="0009378C"/>
    <w:rsid w:val="0009381C"/>
    <w:rsid w:val="0009386D"/>
    <w:rsid w:val="00093CB9"/>
    <w:rsid w:val="00093DEC"/>
    <w:rsid w:val="00093F62"/>
    <w:rsid w:val="00093F66"/>
    <w:rsid w:val="000943D8"/>
    <w:rsid w:val="0009455A"/>
    <w:rsid w:val="000946BA"/>
    <w:rsid w:val="000947E7"/>
    <w:rsid w:val="00094827"/>
    <w:rsid w:val="00094AA4"/>
    <w:rsid w:val="00095148"/>
    <w:rsid w:val="0009522A"/>
    <w:rsid w:val="000953EA"/>
    <w:rsid w:val="00095479"/>
    <w:rsid w:val="000954F5"/>
    <w:rsid w:val="00095870"/>
    <w:rsid w:val="00095FDD"/>
    <w:rsid w:val="00096840"/>
    <w:rsid w:val="00096B57"/>
    <w:rsid w:val="00096C66"/>
    <w:rsid w:val="00096CFE"/>
    <w:rsid w:val="00096D7C"/>
    <w:rsid w:val="00096DA7"/>
    <w:rsid w:val="00096E8E"/>
    <w:rsid w:val="00096EEB"/>
    <w:rsid w:val="000970B7"/>
    <w:rsid w:val="000974BF"/>
    <w:rsid w:val="0009754E"/>
    <w:rsid w:val="00097771"/>
    <w:rsid w:val="000977A9"/>
    <w:rsid w:val="00097D1F"/>
    <w:rsid w:val="00097D66"/>
    <w:rsid w:val="00097E03"/>
    <w:rsid w:val="00097E26"/>
    <w:rsid w:val="00097E64"/>
    <w:rsid w:val="00097ED5"/>
    <w:rsid w:val="000A01C3"/>
    <w:rsid w:val="000A021F"/>
    <w:rsid w:val="000A05E1"/>
    <w:rsid w:val="000A08A6"/>
    <w:rsid w:val="000A0DD9"/>
    <w:rsid w:val="000A0DEC"/>
    <w:rsid w:val="000A0F2A"/>
    <w:rsid w:val="000A109D"/>
    <w:rsid w:val="000A135E"/>
    <w:rsid w:val="000A1509"/>
    <w:rsid w:val="000A15A0"/>
    <w:rsid w:val="000A1780"/>
    <w:rsid w:val="000A17F1"/>
    <w:rsid w:val="000A1AFA"/>
    <w:rsid w:val="000A1C3B"/>
    <w:rsid w:val="000A1C6B"/>
    <w:rsid w:val="000A2106"/>
    <w:rsid w:val="000A22C5"/>
    <w:rsid w:val="000A23FE"/>
    <w:rsid w:val="000A2465"/>
    <w:rsid w:val="000A2D5D"/>
    <w:rsid w:val="000A320F"/>
    <w:rsid w:val="000A32F3"/>
    <w:rsid w:val="000A35D3"/>
    <w:rsid w:val="000A36D1"/>
    <w:rsid w:val="000A373C"/>
    <w:rsid w:val="000A3AB1"/>
    <w:rsid w:val="000A3BCE"/>
    <w:rsid w:val="000A3D82"/>
    <w:rsid w:val="000A3E18"/>
    <w:rsid w:val="000A4272"/>
    <w:rsid w:val="000A4616"/>
    <w:rsid w:val="000A465C"/>
    <w:rsid w:val="000A47F0"/>
    <w:rsid w:val="000A482A"/>
    <w:rsid w:val="000A487B"/>
    <w:rsid w:val="000A4F86"/>
    <w:rsid w:val="000A50E1"/>
    <w:rsid w:val="000A515E"/>
    <w:rsid w:val="000A539B"/>
    <w:rsid w:val="000A5447"/>
    <w:rsid w:val="000A55D9"/>
    <w:rsid w:val="000A56DE"/>
    <w:rsid w:val="000A59F4"/>
    <w:rsid w:val="000A5B52"/>
    <w:rsid w:val="000A5C54"/>
    <w:rsid w:val="000A6062"/>
    <w:rsid w:val="000A60CC"/>
    <w:rsid w:val="000A6335"/>
    <w:rsid w:val="000A6498"/>
    <w:rsid w:val="000A64D0"/>
    <w:rsid w:val="000A658D"/>
    <w:rsid w:val="000A65CD"/>
    <w:rsid w:val="000A67A9"/>
    <w:rsid w:val="000A6804"/>
    <w:rsid w:val="000A6D5C"/>
    <w:rsid w:val="000A7128"/>
    <w:rsid w:val="000A729C"/>
    <w:rsid w:val="000A76E8"/>
    <w:rsid w:val="000A785E"/>
    <w:rsid w:val="000A78F2"/>
    <w:rsid w:val="000A78F6"/>
    <w:rsid w:val="000A79F4"/>
    <w:rsid w:val="000A7B70"/>
    <w:rsid w:val="000A7B9A"/>
    <w:rsid w:val="000A7C2F"/>
    <w:rsid w:val="000A7D3C"/>
    <w:rsid w:val="000A7EC1"/>
    <w:rsid w:val="000B0211"/>
    <w:rsid w:val="000B02BB"/>
    <w:rsid w:val="000B0BE2"/>
    <w:rsid w:val="000B0CF7"/>
    <w:rsid w:val="000B0D90"/>
    <w:rsid w:val="000B1600"/>
    <w:rsid w:val="000B1924"/>
    <w:rsid w:val="000B19FF"/>
    <w:rsid w:val="000B1A0A"/>
    <w:rsid w:val="000B1B52"/>
    <w:rsid w:val="000B1C24"/>
    <w:rsid w:val="000B1CD7"/>
    <w:rsid w:val="000B1D05"/>
    <w:rsid w:val="000B1F58"/>
    <w:rsid w:val="000B1F59"/>
    <w:rsid w:val="000B1F82"/>
    <w:rsid w:val="000B20F0"/>
    <w:rsid w:val="000B21BB"/>
    <w:rsid w:val="000B225F"/>
    <w:rsid w:val="000B2266"/>
    <w:rsid w:val="000B2522"/>
    <w:rsid w:val="000B2542"/>
    <w:rsid w:val="000B2587"/>
    <w:rsid w:val="000B25CC"/>
    <w:rsid w:val="000B25D2"/>
    <w:rsid w:val="000B2A63"/>
    <w:rsid w:val="000B2AC7"/>
    <w:rsid w:val="000B2C4E"/>
    <w:rsid w:val="000B2D2A"/>
    <w:rsid w:val="000B2D33"/>
    <w:rsid w:val="000B30C0"/>
    <w:rsid w:val="000B33B9"/>
    <w:rsid w:val="000B3553"/>
    <w:rsid w:val="000B35A9"/>
    <w:rsid w:val="000B35CE"/>
    <w:rsid w:val="000B37EC"/>
    <w:rsid w:val="000B387A"/>
    <w:rsid w:val="000B38C2"/>
    <w:rsid w:val="000B3ABD"/>
    <w:rsid w:val="000B3AF8"/>
    <w:rsid w:val="000B3B2A"/>
    <w:rsid w:val="000B3B2F"/>
    <w:rsid w:val="000B4070"/>
    <w:rsid w:val="000B4084"/>
    <w:rsid w:val="000B41F9"/>
    <w:rsid w:val="000B4255"/>
    <w:rsid w:val="000B42D8"/>
    <w:rsid w:val="000B47F3"/>
    <w:rsid w:val="000B4949"/>
    <w:rsid w:val="000B49AF"/>
    <w:rsid w:val="000B4BCB"/>
    <w:rsid w:val="000B4FDF"/>
    <w:rsid w:val="000B50BD"/>
    <w:rsid w:val="000B510D"/>
    <w:rsid w:val="000B526D"/>
    <w:rsid w:val="000B530F"/>
    <w:rsid w:val="000B5333"/>
    <w:rsid w:val="000B53C7"/>
    <w:rsid w:val="000B54A3"/>
    <w:rsid w:val="000B56C7"/>
    <w:rsid w:val="000B58C4"/>
    <w:rsid w:val="000B5A35"/>
    <w:rsid w:val="000B5D37"/>
    <w:rsid w:val="000B5E4E"/>
    <w:rsid w:val="000B5E6E"/>
    <w:rsid w:val="000B5ED5"/>
    <w:rsid w:val="000B6421"/>
    <w:rsid w:val="000B6661"/>
    <w:rsid w:val="000B6D04"/>
    <w:rsid w:val="000B6FD2"/>
    <w:rsid w:val="000B7076"/>
    <w:rsid w:val="000B72E8"/>
    <w:rsid w:val="000B7452"/>
    <w:rsid w:val="000B7BF3"/>
    <w:rsid w:val="000B7CA7"/>
    <w:rsid w:val="000C01F2"/>
    <w:rsid w:val="000C0365"/>
    <w:rsid w:val="000C03EB"/>
    <w:rsid w:val="000C0554"/>
    <w:rsid w:val="000C06B0"/>
    <w:rsid w:val="000C07BB"/>
    <w:rsid w:val="000C08AD"/>
    <w:rsid w:val="000C10B9"/>
    <w:rsid w:val="000C1105"/>
    <w:rsid w:val="000C1212"/>
    <w:rsid w:val="000C130C"/>
    <w:rsid w:val="000C1325"/>
    <w:rsid w:val="000C1426"/>
    <w:rsid w:val="000C1558"/>
    <w:rsid w:val="000C1781"/>
    <w:rsid w:val="000C1EFE"/>
    <w:rsid w:val="000C2087"/>
    <w:rsid w:val="000C21D9"/>
    <w:rsid w:val="000C25D4"/>
    <w:rsid w:val="000C25E9"/>
    <w:rsid w:val="000C2695"/>
    <w:rsid w:val="000C2765"/>
    <w:rsid w:val="000C2A3C"/>
    <w:rsid w:val="000C2BD5"/>
    <w:rsid w:val="000C2BF3"/>
    <w:rsid w:val="000C2E17"/>
    <w:rsid w:val="000C3274"/>
    <w:rsid w:val="000C3378"/>
    <w:rsid w:val="000C3A2B"/>
    <w:rsid w:val="000C3A56"/>
    <w:rsid w:val="000C3A6B"/>
    <w:rsid w:val="000C3B1A"/>
    <w:rsid w:val="000C3DDF"/>
    <w:rsid w:val="000C3FC0"/>
    <w:rsid w:val="000C427C"/>
    <w:rsid w:val="000C45F9"/>
    <w:rsid w:val="000C45FE"/>
    <w:rsid w:val="000C4D3E"/>
    <w:rsid w:val="000C4E1E"/>
    <w:rsid w:val="000C4F62"/>
    <w:rsid w:val="000C50E9"/>
    <w:rsid w:val="000C51FD"/>
    <w:rsid w:val="000C523B"/>
    <w:rsid w:val="000C52CF"/>
    <w:rsid w:val="000C53F6"/>
    <w:rsid w:val="000C54F1"/>
    <w:rsid w:val="000C5ADC"/>
    <w:rsid w:val="000C5BF6"/>
    <w:rsid w:val="000C5C26"/>
    <w:rsid w:val="000C5E61"/>
    <w:rsid w:val="000C5FDF"/>
    <w:rsid w:val="000C6013"/>
    <w:rsid w:val="000C6026"/>
    <w:rsid w:val="000C6137"/>
    <w:rsid w:val="000C619B"/>
    <w:rsid w:val="000C61A2"/>
    <w:rsid w:val="000C62F8"/>
    <w:rsid w:val="000C63FC"/>
    <w:rsid w:val="000C6868"/>
    <w:rsid w:val="000C686E"/>
    <w:rsid w:val="000C6906"/>
    <w:rsid w:val="000C6A4E"/>
    <w:rsid w:val="000C6DE0"/>
    <w:rsid w:val="000C704F"/>
    <w:rsid w:val="000C71DA"/>
    <w:rsid w:val="000C73AE"/>
    <w:rsid w:val="000C743D"/>
    <w:rsid w:val="000C7965"/>
    <w:rsid w:val="000C7CB4"/>
    <w:rsid w:val="000C7EB6"/>
    <w:rsid w:val="000D0001"/>
    <w:rsid w:val="000D00FB"/>
    <w:rsid w:val="000D0125"/>
    <w:rsid w:val="000D01AD"/>
    <w:rsid w:val="000D022B"/>
    <w:rsid w:val="000D03BF"/>
    <w:rsid w:val="000D04D3"/>
    <w:rsid w:val="000D092C"/>
    <w:rsid w:val="000D09BC"/>
    <w:rsid w:val="000D0AAD"/>
    <w:rsid w:val="000D0BB5"/>
    <w:rsid w:val="000D0DE6"/>
    <w:rsid w:val="000D0EA7"/>
    <w:rsid w:val="000D0F81"/>
    <w:rsid w:val="000D13F1"/>
    <w:rsid w:val="000D13F7"/>
    <w:rsid w:val="000D1423"/>
    <w:rsid w:val="000D1573"/>
    <w:rsid w:val="000D170D"/>
    <w:rsid w:val="000D1861"/>
    <w:rsid w:val="000D1A34"/>
    <w:rsid w:val="000D1B43"/>
    <w:rsid w:val="000D2212"/>
    <w:rsid w:val="000D2446"/>
    <w:rsid w:val="000D2488"/>
    <w:rsid w:val="000D29E4"/>
    <w:rsid w:val="000D29F1"/>
    <w:rsid w:val="000D2A15"/>
    <w:rsid w:val="000D2B38"/>
    <w:rsid w:val="000D2C9E"/>
    <w:rsid w:val="000D2FC8"/>
    <w:rsid w:val="000D3186"/>
    <w:rsid w:val="000D3239"/>
    <w:rsid w:val="000D336E"/>
    <w:rsid w:val="000D3379"/>
    <w:rsid w:val="000D3462"/>
    <w:rsid w:val="000D354D"/>
    <w:rsid w:val="000D36C7"/>
    <w:rsid w:val="000D3D71"/>
    <w:rsid w:val="000D4030"/>
    <w:rsid w:val="000D4315"/>
    <w:rsid w:val="000D4425"/>
    <w:rsid w:val="000D45B2"/>
    <w:rsid w:val="000D46B7"/>
    <w:rsid w:val="000D4760"/>
    <w:rsid w:val="000D4836"/>
    <w:rsid w:val="000D48E1"/>
    <w:rsid w:val="000D499E"/>
    <w:rsid w:val="000D4A3A"/>
    <w:rsid w:val="000D4A53"/>
    <w:rsid w:val="000D4BC0"/>
    <w:rsid w:val="000D4D1E"/>
    <w:rsid w:val="000D4EB7"/>
    <w:rsid w:val="000D50A0"/>
    <w:rsid w:val="000D50E6"/>
    <w:rsid w:val="000D51DB"/>
    <w:rsid w:val="000D5284"/>
    <w:rsid w:val="000D5414"/>
    <w:rsid w:val="000D54F1"/>
    <w:rsid w:val="000D5635"/>
    <w:rsid w:val="000D58D3"/>
    <w:rsid w:val="000D58D7"/>
    <w:rsid w:val="000D598B"/>
    <w:rsid w:val="000D5AB4"/>
    <w:rsid w:val="000D5BB2"/>
    <w:rsid w:val="000D63A4"/>
    <w:rsid w:val="000D650F"/>
    <w:rsid w:val="000D65CB"/>
    <w:rsid w:val="000D6945"/>
    <w:rsid w:val="000D698E"/>
    <w:rsid w:val="000D69DB"/>
    <w:rsid w:val="000D6D94"/>
    <w:rsid w:val="000D6DFA"/>
    <w:rsid w:val="000D6EC3"/>
    <w:rsid w:val="000D7417"/>
    <w:rsid w:val="000D747D"/>
    <w:rsid w:val="000D7DDC"/>
    <w:rsid w:val="000D7E22"/>
    <w:rsid w:val="000D7F2C"/>
    <w:rsid w:val="000E00F1"/>
    <w:rsid w:val="000E0751"/>
    <w:rsid w:val="000E0855"/>
    <w:rsid w:val="000E08E2"/>
    <w:rsid w:val="000E0A41"/>
    <w:rsid w:val="000E0AA5"/>
    <w:rsid w:val="000E0D50"/>
    <w:rsid w:val="000E0FB8"/>
    <w:rsid w:val="000E1602"/>
    <w:rsid w:val="000E1641"/>
    <w:rsid w:val="000E173D"/>
    <w:rsid w:val="000E17E9"/>
    <w:rsid w:val="000E1902"/>
    <w:rsid w:val="000E1929"/>
    <w:rsid w:val="000E1BCA"/>
    <w:rsid w:val="000E1FEA"/>
    <w:rsid w:val="000E28AD"/>
    <w:rsid w:val="000E2D93"/>
    <w:rsid w:val="000E2E24"/>
    <w:rsid w:val="000E2E6A"/>
    <w:rsid w:val="000E2E7C"/>
    <w:rsid w:val="000E2F16"/>
    <w:rsid w:val="000E30AD"/>
    <w:rsid w:val="000E3202"/>
    <w:rsid w:val="000E33C7"/>
    <w:rsid w:val="000E34FA"/>
    <w:rsid w:val="000E3582"/>
    <w:rsid w:val="000E35CD"/>
    <w:rsid w:val="000E3846"/>
    <w:rsid w:val="000E3BCA"/>
    <w:rsid w:val="000E3DC6"/>
    <w:rsid w:val="000E3E78"/>
    <w:rsid w:val="000E421D"/>
    <w:rsid w:val="000E4328"/>
    <w:rsid w:val="000E4458"/>
    <w:rsid w:val="000E48DE"/>
    <w:rsid w:val="000E4F10"/>
    <w:rsid w:val="000E4F57"/>
    <w:rsid w:val="000E51A2"/>
    <w:rsid w:val="000E51F3"/>
    <w:rsid w:val="000E5366"/>
    <w:rsid w:val="000E5480"/>
    <w:rsid w:val="000E5596"/>
    <w:rsid w:val="000E55FA"/>
    <w:rsid w:val="000E5878"/>
    <w:rsid w:val="000E58D9"/>
    <w:rsid w:val="000E5DA1"/>
    <w:rsid w:val="000E5E12"/>
    <w:rsid w:val="000E6305"/>
    <w:rsid w:val="000E63DF"/>
    <w:rsid w:val="000E64C9"/>
    <w:rsid w:val="000E64CE"/>
    <w:rsid w:val="000E64FC"/>
    <w:rsid w:val="000E666D"/>
    <w:rsid w:val="000E6685"/>
    <w:rsid w:val="000E6868"/>
    <w:rsid w:val="000E696D"/>
    <w:rsid w:val="000E6BCA"/>
    <w:rsid w:val="000E701F"/>
    <w:rsid w:val="000E7375"/>
    <w:rsid w:val="000E7466"/>
    <w:rsid w:val="000E79E7"/>
    <w:rsid w:val="000E7D27"/>
    <w:rsid w:val="000E7EEF"/>
    <w:rsid w:val="000E7FC5"/>
    <w:rsid w:val="000F0495"/>
    <w:rsid w:val="000F05B5"/>
    <w:rsid w:val="000F05F2"/>
    <w:rsid w:val="000F08E2"/>
    <w:rsid w:val="000F0B93"/>
    <w:rsid w:val="000F0BAD"/>
    <w:rsid w:val="000F0D1C"/>
    <w:rsid w:val="000F0DC0"/>
    <w:rsid w:val="000F0DE5"/>
    <w:rsid w:val="000F0F08"/>
    <w:rsid w:val="000F0F28"/>
    <w:rsid w:val="000F1058"/>
    <w:rsid w:val="000F15DE"/>
    <w:rsid w:val="000F168D"/>
    <w:rsid w:val="000F16A9"/>
    <w:rsid w:val="000F16B0"/>
    <w:rsid w:val="000F17B2"/>
    <w:rsid w:val="000F17B5"/>
    <w:rsid w:val="000F1B12"/>
    <w:rsid w:val="000F1B8E"/>
    <w:rsid w:val="000F1CDF"/>
    <w:rsid w:val="000F1EB2"/>
    <w:rsid w:val="000F1F00"/>
    <w:rsid w:val="000F1F57"/>
    <w:rsid w:val="000F20C8"/>
    <w:rsid w:val="000F240C"/>
    <w:rsid w:val="000F261D"/>
    <w:rsid w:val="000F26AD"/>
    <w:rsid w:val="000F2BE9"/>
    <w:rsid w:val="000F2D1D"/>
    <w:rsid w:val="000F2DF1"/>
    <w:rsid w:val="000F2F51"/>
    <w:rsid w:val="000F2F96"/>
    <w:rsid w:val="000F309C"/>
    <w:rsid w:val="000F3434"/>
    <w:rsid w:val="000F3659"/>
    <w:rsid w:val="000F3C02"/>
    <w:rsid w:val="000F3D4C"/>
    <w:rsid w:val="000F3F96"/>
    <w:rsid w:val="000F4039"/>
    <w:rsid w:val="000F4058"/>
    <w:rsid w:val="000F4109"/>
    <w:rsid w:val="000F41A6"/>
    <w:rsid w:val="000F4488"/>
    <w:rsid w:val="000F469C"/>
    <w:rsid w:val="000F4873"/>
    <w:rsid w:val="000F49AF"/>
    <w:rsid w:val="000F4B11"/>
    <w:rsid w:val="000F4BBB"/>
    <w:rsid w:val="000F4D37"/>
    <w:rsid w:val="000F4F8E"/>
    <w:rsid w:val="000F505B"/>
    <w:rsid w:val="000F526E"/>
    <w:rsid w:val="000F548D"/>
    <w:rsid w:val="000F5728"/>
    <w:rsid w:val="000F5791"/>
    <w:rsid w:val="000F597E"/>
    <w:rsid w:val="000F599A"/>
    <w:rsid w:val="000F5AD7"/>
    <w:rsid w:val="000F5BFF"/>
    <w:rsid w:val="000F5C95"/>
    <w:rsid w:val="000F5EEB"/>
    <w:rsid w:val="000F5EFB"/>
    <w:rsid w:val="000F605E"/>
    <w:rsid w:val="000F6075"/>
    <w:rsid w:val="000F60D6"/>
    <w:rsid w:val="000F6226"/>
    <w:rsid w:val="000F6364"/>
    <w:rsid w:val="000F64E7"/>
    <w:rsid w:val="000F664B"/>
    <w:rsid w:val="000F6669"/>
    <w:rsid w:val="000F680B"/>
    <w:rsid w:val="000F693E"/>
    <w:rsid w:val="000F6A17"/>
    <w:rsid w:val="000F6E9D"/>
    <w:rsid w:val="000F7039"/>
    <w:rsid w:val="000F713F"/>
    <w:rsid w:val="000F71E3"/>
    <w:rsid w:val="000F724D"/>
    <w:rsid w:val="000F7765"/>
    <w:rsid w:val="000F77C6"/>
    <w:rsid w:val="000F7897"/>
    <w:rsid w:val="000F79D4"/>
    <w:rsid w:val="000F7B09"/>
    <w:rsid w:val="000F7B16"/>
    <w:rsid w:val="000F7FCD"/>
    <w:rsid w:val="00100029"/>
    <w:rsid w:val="001001C7"/>
    <w:rsid w:val="00100226"/>
    <w:rsid w:val="001005E7"/>
    <w:rsid w:val="001005F2"/>
    <w:rsid w:val="0010068B"/>
    <w:rsid w:val="001007C6"/>
    <w:rsid w:val="00100AA8"/>
    <w:rsid w:val="00100C7C"/>
    <w:rsid w:val="00101089"/>
    <w:rsid w:val="001013A4"/>
    <w:rsid w:val="001013C2"/>
    <w:rsid w:val="00101567"/>
    <w:rsid w:val="001015AF"/>
    <w:rsid w:val="001017D2"/>
    <w:rsid w:val="00101B41"/>
    <w:rsid w:val="00101BE0"/>
    <w:rsid w:val="00101E98"/>
    <w:rsid w:val="001027A1"/>
    <w:rsid w:val="00102B64"/>
    <w:rsid w:val="00102C03"/>
    <w:rsid w:val="00102D27"/>
    <w:rsid w:val="00102D9B"/>
    <w:rsid w:val="00102F63"/>
    <w:rsid w:val="001032FE"/>
    <w:rsid w:val="001033AD"/>
    <w:rsid w:val="001033B2"/>
    <w:rsid w:val="00103763"/>
    <w:rsid w:val="00103798"/>
    <w:rsid w:val="001040EE"/>
    <w:rsid w:val="001041BE"/>
    <w:rsid w:val="0010424C"/>
    <w:rsid w:val="00104469"/>
    <w:rsid w:val="001044B3"/>
    <w:rsid w:val="00104524"/>
    <w:rsid w:val="0010460E"/>
    <w:rsid w:val="00104675"/>
    <w:rsid w:val="00104761"/>
    <w:rsid w:val="00104789"/>
    <w:rsid w:val="00104999"/>
    <w:rsid w:val="00104DE6"/>
    <w:rsid w:val="00104EEF"/>
    <w:rsid w:val="001051B1"/>
    <w:rsid w:val="00105322"/>
    <w:rsid w:val="001053CF"/>
    <w:rsid w:val="00105732"/>
    <w:rsid w:val="00105905"/>
    <w:rsid w:val="0010594E"/>
    <w:rsid w:val="00105A0C"/>
    <w:rsid w:val="00105A3C"/>
    <w:rsid w:val="00105A3F"/>
    <w:rsid w:val="00105F3D"/>
    <w:rsid w:val="00105FE8"/>
    <w:rsid w:val="00105FFA"/>
    <w:rsid w:val="0010627E"/>
    <w:rsid w:val="001065FF"/>
    <w:rsid w:val="00106740"/>
    <w:rsid w:val="00106790"/>
    <w:rsid w:val="00106BB8"/>
    <w:rsid w:val="00106D83"/>
    <w:rsid w:val="00106EF4"/>
    <w:rsid w:val="00107107"/>
    <w:rsid w:val="00107855"/>
    <w:rsid w:val="001078B2"/>
    <w:rsid w:val="001079C4"/>
    <w:rsid w:val="00107C67"/>
    <w:rsid w:val="00107D8C"/>
    <w:rsid w:val="00107EB9"/>
    <w:rsid w:val="00107FD7"/>
    <w:rsid w:val="00110072"/>
    <w:rsid w:val="00110099"/>
    <w:rsid w:val="00110108"/>
    <w:rsid w:val="00110141"/>
    <w:rsid w:val="001101CB"/>
    <w:rsid w:val="00110366"/>
    <w:rsid w:val="001105C9"/>
    <w:rsid w:val="001105D9"/>
    <w:rsid w:val="001105FC"/>
    <w:rsid w:val="0011087B"/>
    <w:rsid w:val="00110AF0"/>
    <w:rsid w:val="00110B2F"/>
    <w:rsid w:val="00110BCA"/>
    <w:rsid w:val="00110BCE"/>
    <w:rsid w:val="00110DEF"/>
    <w:rsid w:val="00110E4B"/>
    <w:rsid w:val="00110F11"/>
    <w:rsid w:val="0011103B"/>
    <w:rsid w:val="0011133F"/>
    <w:rsid w:val="0011134B"/>
    <w:rsid w:val="0011145F"/>
    <w:rsid w:val="001118E2"/>
    <w:rsid w:val="0011197D"/>
    <w:rsid w:val="00111B5E"/>
    <w:rsid w:val="00111C1A"/>
    <w:rsid w:val="00111C84"/>
    <w:rsid w:val="00111EA6"/>
    <w:rsid w:val="00112018"/>
    <w:rsid w:val="00112723"/>
    <w:rsid w:val="00112C28"/>
    <w:rsid w:val="00112CF9"/>
    <w:rsid w:val="0011302D"/>
    <w:rsid w:val="00113072"/>
    <w:rsid w:val="0011317D"/>
    <w:rsid w:val="00113305"/>
    <w:rsid w:val="00113341"/>
    <w:rsid w:val="001133F6"/>
    <w:rsid w:val="00113596"/>
    <w:rsid w:val="00113B23"/>
    <w:rsid w:val="00113BEA"/>
    <w:rsid w:val="00113BEF"/>
    <w:rsid w:val="00113C07"/>
    <w:rsid w:val="00113E1E"/>
    <w:rsid w:val="001140EA"/>
    <w:rsid w:val="0011420C"/>
    <w:rsid w:val="00114316"/>
    <w:rsid w:val="001145F2"/>
    <w:rsid w:val="001147FB"/>
    <w:rsid w:val="00114982"/>
    <w:rsid w:val="001149E1"/>
    <w:rsid w:val="001149F3"/>
    <w:rsid w:val="00114C03"/>
    <w:rsid w:val="00114CD8"/>
    <w:rsid w:val="00114CED"/>
    <w:rsid w:val="00114DE8"/>
    <w:rsid w:val="00114E5D"/>
    <w:rsid w:val="00114E86"/>
    <w:rsid w:val="00115026"/>
    <w:rsid w:val="001153D5"/>
    <w:rsid w:val="00115596"/>
    <w:rsid w:val="00115714"/>
    <w:rsid w:val="0011573F"/>
    <w:rsid w:val="0011575E"/>
    <w:rsid w:val="00115E9E"/>
    <w:rsid w:val="00116033"/>
    <w:rsid w:val="00116565"/>
    <w:rsid w:val="001166BF"/>
    <w:rsid w:val="001168F1"/>
    <w:rsid w:val="00116C37"/>
    <w:rsid w:val="00116C7F"/>
    <w:rsid w:val="00116F26"/>
    <w:rsid w:val="00116F71"/>
    <w:rsid w:val="0011709F"/>
    <w:rsid w:val="0011765A"/>
    <w:rsid w:val="00117854"/>
    <w:rsid w:val="00117A05"/>
    <w:rsid w:val="00117B13"/>
    <w:rsid w:val="00117EB7"/>
    <w:rsid w:val="001200D5"/>
    <w:rsid w:val="00120139"/>
    <w:rsid w:val="001202C5"/>
    <w:rsid w:val="001202DE"/>
    <w:rsid w:val="001203BE"/>
    <w:rsid w:val="00120479"/>
    <w:rsid w:val="0012053D"/>
    <w:rsid w:val="001207B7"/>
    <w:rsid w:val="00120C62"/>
    <w:rsid w:val="00120DC5"/>
    <w:rsid w:val="001210A1"/>
    <w:rsid w:val="0012127D"/>
    <w:rsid w:val="001217A4"/>
    <w:rsid w:val="00121BAB"/>
    <w:rsid w:val="00121FA9"/>
    <w:rsid w:val="00122218"/>
    <w:rsid w:val="0012224D"/>
    <w:rsid w:val="00122412"/>
    <w:rsid w:val="00122486"/>
    <w:rsid w:val="001229C6"/>
    <w:rsid w:val="00122A25"/>
    <w:rsid w:val="00122BEE"/>
    <w:rsid w:val="00122E72"/>
    <w:rsid w:val="00122EC5"/>
    <w:rsid w:val="00122F97"/>
    <w:rsid w:val="001231D1"/>
    <w:rsid w:val="001231E4"/>
    <w:rsid w:val="0012330F"/>
    <w:rsid w:val="001235BC"/>
    <w:rsid w:val="0012364C"/>
    <w:rsid w:val="0012367D"/>
    <w:rsid w:val="00123866"/>
    <w:rsid w:val="00123CC8"/>
    <w:rsid w:val="00123CDD"/>
    <w:rsid w:val="00123E5B"/>
    <w:rsid w:val="00123E73"/>
    <w:rsid w:val="00123EA9"/>
    <w:rsid w:val="00123EF9"/>
    <w:rsid w:val="00124057"/>
    <w:rsid w:val="001240B7"/>
    <w:rsid w:val="001240D7"/>
    <w:rsid w:val="0012415B"/>
    <w:rsid w:val="00124403"/>
    <w:rsid w:val="001244A7"/>
    <w:rsid w:val="0012470A"/>
    <w:rsid w:val="0012490E"/>
    <w:rsid w:val="00124DA6"/>
    <w:rsid w:val="0012501D"/>
    <w:rsid w:val="0012514E"/>
    <w:rsid w:val="00125810"/>
    <w:rsid w:val="0012588D"/>
    <w:rsid w:val="001258D5"/>
    <w:rsid w:val="001258EC"/>
    <w:rsid w:val="00125B07"/>
    <w:rsid w:val="00125E9B"/>
    <w:rsid w:val="00126303"/>
    <w:rsid w:val="00126687"/>
    <w:rsid w:val="00126D6B"/>
    <w:rsid w:val="00126DB2"/>
    <w:rsid w:val="00126FBC"/>
    <w:rsid w:val="00127015"/>
    <w:rsid w:val="00127251"/>
    <w:rsid w:val="0012735B"/>
    <w:rsid w:val="00127396"/>
    <w:rsid w:val="00127451"/>
    <w:rsid w:val="001274FC"/>
    <w:rsid w:val="00127509"/>
    <w:rsid w:val="001276FC"/>
    <w:rsid w:val="00127702"/>
    <w:rsid w:val="0012775E"/>
    <w:rsid w:val="0012778D"/>
    <w:rsid w:val="00127CF0"/>
    <w:rsid w:val="00127F38"/>
    <w:rsid w:val="00127F3F"/>
    <w:rsid w:val="0013040C"/>
    <w:rsid w:val="00130642"/>
    <w:rsid w:val="001309D6"/>
    <w:rsid w:val="00130C51"/>
    <w:rsid w:val="00130CA5"/>
    <w:rsid w:val="00130CCC"/>
    <w:rsid w:val="00130FA6"/>
    <w:rsid w:val="00130FAF"/>
    <w:rsid w:val="0013129C"/>
    <w:rsid w:val="001314AC"/>
    <w:rsid w:val="001316F0"/>
    <w:rsid w:val="0013178E"/>
    <w:rsid w:val="00131A58"/>
    <w:rsid w:val="00131BA7"/>
    <w:rsid w:val="00131D24"/>
    <w:rsid w:val="001320DE"/>
    <w:rsid w:val="001322CC"/>
    <w:rsid w:val="001323FC"/>
    <w:rsid w:val="00132ABF"/>
    <w:rsid w:val="00132F33"/>
    <w:rsid w:val="00132F3B"/>
    <w:rsid w:val="001335CC"/>
    <w:rsid w:val="001337CD"/>
    <w:rsid w:val="00133B52"/>
    <w:rsid w:val="001344EB"/>
    <w:rsid w:val="001346D5"/>
    <w:rsid w:val="001348BD"/>
    <w:rsid w:val="00134BA6"/>
    <w:rsid w:val="00134C80"/>
    <w:rsid w:val="00134C88"/>
    <w:rsid w:val="00134F38"/>
    <w:rsid w:val="001350E2"/>
    <w:rsid w:val="00135256"/>
    <w:rsid w:val="00135274"/>
    <w:rsid w:val="0013534A"/>
    <w:rsid w:val="001357E4"/>
    <w:rsid w:val="001359A6"/>
    <w:rsid w:val="001359CC"/>
    <w:rsid w:val="00135A0C"/>
    <w:rsid w:val="00135D95"/>
    <w:rsid w:val="00135DF4"/>
    <w:rsid w:val="00136172"/>
    <w:rsid w:val="0013625C"/>
    <w:rsid w:val="001364ED"/>
    <w:rsid w:val="0013655F"/>
    <w:rsid w:val="001365A3"/>
    <w:rsid w:val="00136694"/>
    <w:rsid w:val="00136893"/>
    <w:rsid w:val="0013692A"/>
    <w:rsid w:val="001369EF"/>
    <w:rsid w:val="00136BA8"/>
    <w:rsid w:val="00136D6F"/>
    <w:rsid w:val="00136D9E"/>
    <w:rsid w:val="00136EA6"/>
    <w:rsid w:val="00136F12"/>
    <w:rsid w:val="0013714B"/>
    <w:rsid w:val="0013724C"/>
    <w:rsid w:val="0013725A"/>
    <w:rsid w:val="00137305"/>
    <w:rsid w:val="0013772A"/>
    <w:rsid w:val="00137836"/>
    <w:rsid w:val="001378D5"/>
    <w:rsid w:val="0013793B"/>
    <w:rsid w:val="00137AC2"/>
    <w:rsid w:val="00137B52"/>
    <w:rsid w:val="00137BEA"/>
    <w:rsid w:val="00137D4A"/>
    <w:rsid w:val="00137E13"/>
    <w:rsid w:val="00137E30"/>
    <w:rsid w:val="00137E8B"/>
    <w:rsid w:val="00137EBF"/>
    <w:rsid w:val="00140092"/>
    <w:rsid w:val="0014035E"/>
    <w:rsid w:val="001405C5"/>
    <w:rsid w:val="00140698"/>
    <w:rsid w:val="00140794"/>
    <w:rsid w:val="00140B4B"/>
    <w:rsid w:val="00140EAA"/>
    <w:rsid w:val="00141354"/>
    <w:rsid w:val="001413EF"/>
    <w:rsid w:val="0014140A"/>
    <w:rsid w:val="0014155A"/>
    <w:rsid w:val="001415D6"/>
    <w:rsid w:val="0014163F"/>
    <w:rsid w:val="0014177A"/>
    <w:rsid w:val="00141812"/>
    <w:rsid w:val="00141873"/>
    <w:rsid w:val="0014195C"/>
    <w:rsid w:val="001419AB"/>
    <w:rsid w:val="00141C7A"/>
    <w:rsid w:val="00141E2B"/>
    <w:rsid w:val="00141FA8"/>
    <w:rsid w:val="0014250B"/>
    <w:rsid w:val="00142A11"/>
    <w:rsid w:val="00142BAC"/>
    <w:rsid w:val="00142C8A"/>
    <w:rsid w:val="00142FDD"/>
    <w:rsid w:val="001430B2"/>
    <w:rsid w:val="001432B2"/>
    <w:rsid w:val="00143302"/>
    <w:rsid w:val="001433F1"/>
    <w:rsid w:val="00143417"/>
    <w:rsid w:val="00143419"/>
    <w:rsid w:val="00143D4D"/>
    <w:rsid w:val="0014418A"/>
    <w:rsid w:val="001441B7"/>
    <w:rsid w:val="00144319"/>
    <w:rsid w:val="00144348"/>
    <w:rsid w:val="00144431"/>
    <w:rsid w:val="001447A7"/>
    <w:rsid w:val="001447EE"/>
    <w:rsid w:val="00144918"/>
    <w:rsid w:val="00144BB7"/>
    <w:rsid w:val="00144CE7"/>
    <w:rsid w:val="00144D67"/>
    <w:rsid w:val="001453E6"/>
    <w:rsid w:val="0014545A"/>
    <w:rsid w:val="00145522"/>
    <w:rsid w:val="00145A98"/>
    <w:rsid w:val="00145CD3"/>
    <w:rsid w:val="00145D84"/>
    <w:rsid w:val="00145DD2"/>
    <w:rsid w:val="0014643A"/>
    <w:rsid w:val="001465A3"/>
    <w:rsid w:val="0014694A"/>
    <w:rsid w:val="00146C01"/>
    <w:rsid w:val="00146E32"/>
    <w:rsid w:val="00146F04"/>
    <w:rsid w:val="00146F40"/>
    <w:rsid w:val="00146F5E"/>
    <w:rsid w:val="00147034"/>
    <w:rsid w:val="001470B2"/>
    <w:rsid w:val="001476A9"/>
    <w:rsid w:val="001477E3"/>
    <w:rsid w:val="0014792B"/>
    <w:rsid w:val="00147CB1"/>
    <w:rsid w:val="00147EA3"/>
    <w:rsid w:val="001501FA"/>
    <w:rsid w:val="001502C2"/>
    <w:rsid w:val="00150331"/>
    <w:rsid w:val="001503AE"/>
    <w:rsid w:val="00150457"/>
    <w:rsid w:val="00150497"/>
    <w:rsid w:val="00150757"/>
    <w:rsid w:val="0015086A"/>
    <w:rsid w:val="001509A7"/>
    <w:rsid w:val="00150C13"/>
    <w:rsid w:val="00150EBA"/>
    <w:rsid w:val="00151142"/>
    <w:rsid w:val="00151179"/>
    <w:rsid w:val="00151276"/>
    <w:rsid w:val="00151331"/>
    <w:rsid w:val="00151441"/>
    <w:rsid w:val="001516A6"/>
    <w:rsid w:val="0015172D"/>
    <w:rsid w:val="0015199E"/>
    <w:rsid w:val="001519D0"/>
    <w:rsid w:val="001519DD"/>
    <w:rsid w:val="00151A2E"/>
    <w:rsid w:val="00151AED"/>
    <w:rsid w:val="00151BD2"/>
    <w:rsid w:val="00151F3B"/>
    <w:rsid w:val="001520FA"/>
    <w:rsid w:val="0015229E"/>
    <w:rsid w:val="00152551"/>
    <w:rsid w:val="001525D5"/>
    <w:rsid w:val="001526B6"/>
    <w:rsid w:val="00152980"/>
    <w:rsid w:val="00152AD6"/>
    <w:rsid w:val="00152CB0"/>
    <w:rsid w:val="00152D8F"/>
    <w:rsid w:val="00153041"/>
    <w:rsid w:val="0015307B"/>
    <w:rsid w:val="0015323F"/>
    <w:rsid w:val="001537D6"/>
    <w:rsid w:val="001537D8"/>
    <w:rsid w:val="0015398F"/>
    <w:rsid w:val="00153B2C"/>
    <w:rsid w:val="00153BB4"/>
    <w:rsid w:val="00153C84"/>
    <w:rsid w:val="00153F7E"/>
    <w:rsid w:val="001548E9"/>
    <w:rsid w:val="00154916"/>
    <w:rsid w:val="00154AC8"/>
    <w:rsid w:val="00154AD0"/>
    <w:rsid w:val="00154AFA"/>
    <w:rsid w:val="00154D33"/>
    <w:rsid w:val="0015546B"/>
    <w:rsid w:val="00155519"/>
    <w:rsid w:val="001555A3"/>
    <w:rsid w:val="001558A5"/>
    <w:rsid w:val="00155C1D"/>
    <w:rsid w:val="00155C3F"/>
    <w:rsid w:val="00155C55"/>
    <w:rsid w:val="00155DAC"/>
    <w:rsid w:val="00156190"/>
    <w:rsid w:val="001562AF"/>
    <w:rsid w:val="001562FC"/>
    <w:rsid w:val="001565AE"/>
    <w:rsid w:val="001567EE"/>
    <w:rsid w:val="0015682F"/>
    <w:rsid w:val="001569D5"/>
    <w:rsid w:val="00156A03"/>
    <w:rsid w:val="00156A41"/>
    <w:rsid w:val="00156B60"/>
    <w:rsid w:val="00156BF7"/>
    <w:rsid w:val="001573FE"/>
    <w:rsid w:val="001574B5"/>
    <w:rsid w:val="001575A9"/>
    <w:rsid w:val="001575D2"/>
    <w:rsid w:val="00157623"/>
    <w:rsid w:val="001576E9"/>
    <w:rsid w:val="00157923"/>
    <w:rsid w:val="00157CC0"/>
    <w:rsid w:val="00157E56"/>
    <w:rsid w:val="00160798"/>
    <w:rsid w:val="00160A01"/>
    <w:rsid w:val="00160AF1"/>
    <w:rsid w:val="00161052"/>
    <w:rsid w:val="00161606"/>
    <w:rsid w:val="001618CE"/>
    <w:rsid w:val="001618FF"/>
    <w:rsid w:val="00161B84"/>
    <w:rsid w:val="00161BD2"/>
    <w:rsid w:val="00161C32"/>
    <w:rsid w:val="00161CA2"/>
    <w:rsid w:val="00161DC1"/>
    <w:rsid w:val="00161DFF"/>
    <w:rsid w:val="00161FE5"/>
    <w:rsid w:val="0016225E"/>
    <w:rsid w:val="001625A7"/>
    <w:rsid w:val="001627D5"/>
    <w:rsid w:val="001628C0"/>
    <w:rsid w:val="00162BC0"/>
    <w:rsid w:val="00162DA1"/>
    <w:rsid w:val="00163024"/>
    <w:rsid w:val="0016352C"/>
    <w:rsid w:val="00163553"/>
    <w:rsid w:val="0016374E"/>
    <w:rsid w:val="0016383E"/>
    <w:rsid w:val="001638AF"/>
    <w:rsid w:val="00163EA2"/>
    <w:rsid w:val="00164088"/>
    <w:rsid w:val="001642D9"/>
    <w:rsid w:val="00164806"/>
    <w:rsid w:val="00164904"/>
    <w:rsid w:val="00164959"/>
    <w:rsid w:val="00164B82"/>
    <w:rsid w:val="00164D44"/>
    <w:rsid w:val="00164FCD"/>
    <w:rsid w:val="00165421"/>
    <w:rsid w:val="00165729"/>
    <w:rsid w:val="0016575F"/>
    <w:rsid w:val="0016583D"/>
    <w:rsid w:val="0016592A"/>
    <w:rsid w:val="00165DA4"/>
    <w:rsid w:val="00166144"/>
    <w:rsid w:val="001662EF"/>
    <w:rsid w:val="001666D5"/>
    <w:rsid w:val="0016686B"/>
    <w:rsid w:val="00166B0B"/>
    <w:rsid w:val="0016710B"/>
    <w:rsid w:val="001671FD"/>
    <w:rsid w:val="00167822"/>
    <w:rsid w:val="001679D2"/>
    <w:rsid w:val="00167B5F"/>
    <w:rsid w:val="00167B92"/>
    <w:rsid w:val="00167BA5"/>
    <w:rsid w:val="00167C2C"/>
    <w:rsid w:val="00167E25"/>
    <w:rsid w:val="00167E5A"/>
    <w:rsid w:val="00167FF1"/>
    <w:rsid w:val="001702F6"/>
    <w:rsid w:val="001703DF"/>
    <w:rsid w:val="001705A7"/>
    <w:rsid w:val="00170789"/>
    <w:rsid w:val="00170A4B"/>
    <w:rsid w:val="00170AFB"/>
    <w:rsid w:val="00170E10"/>
    <w:rsid w:val="00170EC9"/>
    <w:rsid w:val="00171356"/>
    <w:rsid w:val="001713F3"/>
    <w:rsid w:val="00171695"/>
    <w:rsid w:val="0017177A"/>
    <w:rsid w:val="00171812"/>
    <w:rsid w:val="001718BB"/>
    <w:rsid w:val="001719A5"/>
    <w:rsid w:val="001719AB"/>
    <w:rsid w:val="00171ABF"/>
    <w:rsid w:val="00171C3E"/>
    <w:rsid w:val="00171CED"/>
    <w:rsid w:val="00171D06"/>
    <w:rsid w:val="00171FCC"/>
    <w:rsid w:val="00172141"/>
    <w:rsid w:val="00172472"/>
    <w:rsid w:val="001724B4"/>
    <w:rsid w:val="00172635"/>
    <w:rsid w:val="00172742"/>
    <w:rsid w:val="001728F9"/>
    <w:rsid w:val="00172D8D"/>
    <w:rsid w:val="00172F3F"/>
    <w:rsid w:val="00172F49"/>
    <w:rsid w:val="00172F6B"/>
    <w:rsid w:val="0017323D"/>
    <w:rsid w:val="001733C4"/>
    <w:rsid w:val="001735D4"/>
    <w:rsid w:val="00173790"/>
    <w:rsid w:val="00173AB2"/>
    <w:rsid w:val="00173F8E"/>
    <w:rsid w:val="0017402F"/>
    <w:rsid w:val="00174102"/>
    <w:rsid w:val="0017414B"/>
    <w:rsid w:val="001743D6"/>
    <w:rsid w:val="001743E3"/>
    <w:rsid w:val="00174817"/>
    <w:rsid w:val="00174AA1"/>
    <w:rsid w:val="00175034"/>
    <w:rsid w:val="00175079"/>
    <w:rsid w:val="001750E1"/>
    <w:rsid w:val="0017530C"/>
    <w:rsid w:val="00175515"/>
    <w:rsid w:val="001757AC"/>
    <w:rsid w:val="001759F4"/>
    <w:rsid w:val="00175ECF"/>
    <w:rsid w:val="00175F71"/>
    <w:rsid w:val="00176036"/>
    <w:rsid w:val="00176221"/>
    <w:rsid w:val="00176236"/>
    <w:rsid w:val="00176463"/>
    <w:rsid w:val="001768B7"/>
    <w:rsid w:val="001769DE"/>
    <w:rsid w:val="00176BE0"/>
    <w:rsid w:val="00176C9E"/>
    <w:rsid w:val="00176E38"/>
    <w:rsid w:val="00176E9D"/>
    <w:rsid w:val="00177141"/>
    <w:rsid w:val="00177156"/>
    <w:rsid w:val="001771E2"/>
    <w:rsid w:val="001775EF"/>
    <w:rsid w:val="00177774"/>
    <w:rsid w:val="00177862"/>
    <w:rsid w:val="001778A7"/>
    <w:rsid w:val="00177975"/>
    <w:rsid w:val="00177B16"/>
    <w:rsid w:val="00177C5B"/>
    <w:rsid w:val="00177DDD"/>
    <w:rsid w:val="00177F20"/>
    <w:rsid w:val="0018002E"/>
    <w:rsid w:val="00180173"/>
    <w:rsid w:val="00180424"/>
    <w:rsid w:val="00180761"/>
    <w:rsid w:val="001807EF"/>
    <w:rsid w:val="00180AB0"/>
    <w:rsid w:val="00180B63"/>
    <w:rsid w:val="00180B98"/>
    <w:rsid w:val="00180BCC"/>
    <w:rsid w:val="00180CD2"/>
    <w:rsid w:val="0018106B"/>
    <w:rsid w:val="00181118"/>
    <w:rsid w:val="001812FD"/>
    <w:rsid w:val="00181774"/>
    <w:rsid w:val="00181826"/>
    <w:rsid w:val="001819A5"/>
    <w:rsid w:val="00181ABA"/>
    <w:rsid w:val="00181D5B"/>
    <w:rsid w:val="00181D67"/>
    <w:rsid w:val="001820A2"/>
    <w:rsid w:val="00182522"/>
    <w:rsid w:val="00182665"/>
    <w:rsid w:val="001827AA"/>
    <w:rsid w:val="0018297B"/>
    <w:rsid w:val="0018299B"/>
    <w:rsid w:val="00182B22"/>
    <w:rsid w:val="00182B40"/>
    <w:rsid w:val="00182E87"/>
    <w:rsid w:val="00182F7E"/>
    <w:rsid w:val="00183215"/>
    <w:rsid w:val="001833E5"/>
    <w:rsid w:val="001834E7"/>
    <w:rsid w:val="00183863"/>
    <w:rsid w:val="0018394A"/>
    <w:rsid w:val="0018396D"/>
    <w:rsid w:val="0018397D"/>
    <w:rsid w:val="00183BE0"/>
    <w:rsid w:val="00183D72"/>
    <w:rsid w:val="00183E2B"/>
    <w:rsid w:val="00183F37"/>
    <w:rsid w:val="00184050"/>
    <w:rsid w:val="001841E6"/>
    <w:rsid w:val="001844B6"/>
    <w:rsid w:val="00184940"/>
    <w:rsid w:val="00184BC4"/>
    <w:rsid w:val="00184C43"/>
    <w:rsid w:val="00184D06"/>
    <w:rsid w:val="00184FF2"/>
    <w:rsid w:val="00185141"/>
    <w:rsid w:val="00185486"/>
    <w:rsid w:val="0018554C"/>
    <w:rsid w:val="00185702"/>
    <w:rsid w:val="001857D2"/>
    <w:rsid w:val="0018585B"/>
    <w:rsid w:val="00185A52"/>
    <w:rsid w:val="00185BCB"/>
    <w:rsid w:val="00185C1B"/>
    <w:rsid w:val="00185EF6"/>
    <w:rsid w:val="00186092"/>
    <w:rsid w:val="001860BE"/>
    <w:rsid w:val="00186109"/>
    <w:rsid w:val="0018646A"/>
    <w:rsid w:val="001864BF"/>
    <w:rsid w:val="001865D9"/>
    <w:rsid w:val="00186600"/>
    <w:rsid w:val="00186674"/>
    <w:rsid w:val="00186AA9"/>
    <w:rsid w:val="00186C2A"/>
    <w:rsid w:val="00186C68"/>
    <w:rsid w:val="00186E3C"/>
    <w:rsid w:val="00186EAD"/>
    <w:rsid w:val="00186ECE"/>
    <w:rsid w:val="00186F45"/>
    <w:rsid w:val="0018701C"/>
    <w:rsid w:val="001870DC"/>
    <w:rsid w:val="00187205"/>
    <w:rsid w:val="0018722D"/>
    <w:rsid w:val="00187401"/>
    <w:rsid w:val="001874CD"/>
    <w:rsid w:val="001875ED"/>
    <w:rsid w:val="001877A2"/>
    <w:rsid w:val="001877A4"/>
    <w:rsid w:val="00187E5F"/>
    <w:rsid w:val="00187E7D"/>
    <w:rsid w:val="001900F4"/>
    <w:rsid w:val="0019025C"/>
    <w:rsid w:val="001905BE"/>
    <w:rsid w:val="001905D1"/>
    <w:rsid w:val="001906AB"/>
    <w:rsid w:val="0019093D"/>
    <w:rsid w:val="00190BEC"/>
    <w:rsid w:val="00190C2B"/>
    <w:rsid w:val="00190C3D"/>
    <w:rsid w:val="00190CF8"/>
    <w:rsid w:val="00190D54"/>
    <w:rsid w:val="00190F1F"/>
    <w:rsid w:val="00191216"/>
    <w:rsid w:val="00191220"/>
    <w:rsid w:val="001915D1"/>
    <w:rsid w:val="001919E4"/>
    <w:rsid w:val="00191A7A"/>
    <w:rsid w:val="00191C6B"/>
    <w:rsid w:val="00191E87"/>
    <w:rsid w:val="00191F0F"/>
    <w:rsid w:val="00192333"/>
    <w:rsid w:val="0019276F"/>
    <w:rsid w:val="001929CE"/>
    <w:rsid w:val="00192AB1"/>
    <w:rsid w:val="00192B7E"/>
    <w:rsid w:val="00192CA7"/>
    <w:rsid w:val="00192D42"/>
    <w:rsid w:val="001931B7"/>
    <w:rsid w:val="001932BA"/>
    <w:rsid w:val="001936B2"/>
    <w:rsid w:val="0019395A"/>
    <w:rsid w:val="001939B5"/>
    <w:rsid w:val="001939C9"/>
    <w:rsid w:val="001946C1"/>
    <w:rsid w:val="00194769"/>
    <w:rsid w:val="0019499F"/>
    <w:rsid w:val="001949E1"/>
    <w:rsid w:val="00194A4E"/>
    <w:rsid w:val="00194BD6"/>
    <w:rsid w:val="00194E8F"/>
    <w:rsid w:val="0019511F"/>
    <w:rsid w:val="00195176"/>
    <w:rsid w:val="00195245"/>
    <w:rsid w:val="001952EF"/>
    <w:rsid w:val="00195FD6"/>
    <w:rsid w:val="001962C8"/>
    <w:rsid w:val="001962E8"/>
    <w:rsid w:val="00196788"/>
    <w:rsid w:val="00196807"/>
    <w:rsid w:val="00196812"/>
    <w:rsid w:val="00196839"/>
    <w:rsid w:val="0019693C"/>
    <w:rsid w:val="00196A2E"/>
    <w:rsid w:val="00196BE7"/>
    <w:rsid w:val="00196E73"/>
    <w:rsid w:val="001970F5"/>
    <w:rsid w:val="0019714E"/>
    <w:rsid w:val="00197178"/>
    <w:rsid w:val="0019718F"/>
    <w:rsid w:val="00197191"/>
    <w:rsid w:val="0019724D"/>
    <w:rsid w:val="0019725E"/>
    <w:rsid w:val="00197351"/>
    <w:rsid w:val="001974B2"/>
    <w:rsid w:val="001974FD"/>
    <w:rsid w:val="001977B2"/>
    <w:rsid w:val="00197843"/>
    <w:rsid w:val="0019789E"/>
    <w:rsid w:val="00197C75"/>
    <w:rsid w:val="001A0012"/>
    <w:rsid w:val="001A0140"/>
    <w:rsid w:val="001A0325"/>
    <w:rsid w:val="001A0873"/>
    <w:rsid w:val="001A0B12"/>
    <w:rsid w:val="001A115C"/>
    <w:rsid w:val="001A123B"/>
    <w:rsid w:val="001A1284"/>
    <w:rsid w:val="001A12F1"/>
    <w:rsid w:val="001A1411"/>
    <w:rsid w:val="001A17F7"/>
    <w:rsid w:val="001A1BD1"/>
    <w:rsid w:val="001A1CA5"/>
    <w:rsid w:val="001A1D52"/>
    <w:rsid w:val="001A1F3C"/>
    <w:rsid w:val="001A21FF"/>
    <w:rsid w:val="001A22AC"/>
    <w:rsid w:val="001A24D6"/>
    <w:rsid w:val="001A2B1E"/>
    <w:rsid w:val="001A301E"/>
    <w:rsid w:val="001A304D"/>
    <w:rsid w:val="001A3349"/>
    <w:rsid w:val="001A3467"/>
    <w:rsid w:val="001A3779"/>
    <w:rsid w:val="001A37C5"/>
    <w:rsid w:val="001A3841"/>
    <w:rsid w:val="001A3D18"/>
    <w:rsid w:val="001A3F01"/>
    <w:rsid w:val="001A4294"/>
    <w:rsid w:val="001A42E3"/>
    <w:rsid w:val="001A467E"/>
    <w:rsid w:val="001A4808"/>
    <w:rsid w:val="001A48C6"/>
    <w:rsid w:val="001A49A7"/>
    <w:rsid w:val="001A4B13"/>
    <w:rsid w:val="001A4B49"/>
    <w:rsid w:val="001A4C46"/>
    <w:rsid w:val="001A4C4B"/>
    <w:rsid w:val="001A4EB3"/>
    <w:rsid w:val="001A4F2A"/>
    <w:rsid w:val="001A4FBA"/>
    <w:rsid w:val="001A5021"/>
    <w:rsid w:val="001A5595"/>
    <w:rsid w:val="001A5936"/>
    <w:rsid w:val="001A5C72"/>
    <w:rsid w:val="001A5DA4"/>
    <w:rsid w:val="001A5FE3"/>
    <w:rsid w:val="001A5FE8"/>
    <w:rsid w:val="001A6064"/>
    <w:rsid w:val="001A620E"/>
    <w:rsid w:val="001A62AF"/>
    <w:rsid w:val="001A6574"/>
    <w:rsid w:val="001A658F"/>
    <w:rsid w:val="001A6704"/>
    <w:rsid w:val="001A6958"/>
    <w:rsid w:val="001A6969"/>
    <w:rsid w:val="001A6B6B"/>
    <w:rsid w:val="001A6E13"/>
    <w:rsid w:val="001A7001"/>
    <w:rsid w:val="001A74AF"/>
    <w:rsid w:val="001A7583"/>
    <w:rsid w:val="001A7897"/>
    <w:rsid w:val="001A7901"/>
    <w:rsid w:val="001A798F"/>
    <w:rsid w:val="001A7C78"/>
    <w:rsid w:val="001A7D0A"/>
    <w:rsid w:val="001A7D1A"/>
    <w:rsid w:val="001A7D42"/>
    <w:rsid w:val="001A7DB9"/>
    <w:rsid w:val="001A7F20"/>
    <w:rsid w:val="001B007E"/>
    <w:rsid w:val="001B01D8"/>
    <w:rsid w:val="001B02AC"/>
    <w:rsid w:val="001B038F"/>
    <w:rsid w:val="001B0651"/>
    <w:rsid w:val="001B0958"/>
    <w:rsid w:val="001B098A"/>
    <w:rsid w:val="001B0ACE"/>
    <w:rsid w:val="001B0FF9"/>
    <w:rsid w:val="001B10D4"/>
    <w:rsid w:val="001B112E"/>
    <w:rsid w:val="001B117A"/>
    <w:rsid w:val="001B1379"/>
    <w:rsid w:val="001B156F"/>
    <w:rsid w:val="001B1588"/>
    <w:rsid w:val="001B15A0"/>
    <w:rsid w:val="001B1ABB"/>
    <w:rsid w:val="001B1BA4"/>
    <w:rsid w:val="001B1E6A"/>
    <w:rsid w:val="001B1F15"/>
    <w:rsid w:val="001B2031"/>
    <w:rsid w:val="001B210C"/>
    <w:rsid w:val="001B254D"/>
    <w:rsid w:val="001B2616"/>
    <w:rsid w:val="001B28D8"/>
    <w:rsid w:val="001B29A9"/>
    <w:rsid w:val="001B29DD"/>
    <w:rsid w:val="001B2D3E"/>
    <w:rsid w:val="001B2D88"/>
    <w:rsid w:val="001B2E29"/>
    <w:rsid w:val="001B330D"/>
    <w:rsid w:val="001B3373"/>
    <w:rsid w:val="001B3563"/>
    <w:rsid w:val="001B36AF"/>
    <w:rsid w:val="001B37AE"/>
    <w:rsid w:val="001B3A28"/>
    <w:rsid w:val="001B43CE"/>
    <w:rsid w:val="001B44AC"/>
    <w:rsid w:val="001B44D6"/>
    <w:rsid w:val="001B48E0"/>
    <w:rsid w:val="001B4AB9"/>
    <w:rsid w:val="001B4BCE"/>
    <w:rsid w:val="001B4C84"/>
    <w:rsid w:val="001B4CBE"/>
    <w:rsid w:val="001B4D0D"/>
    <w:rsid w:val="001B4D2A"/>
    <w:rsid w:val="001B4E1C"/>
    <w:rsid w:val="001B4E99"/>
    <w:rsid w:val="001B5112"/>
    <w:rsid w:val="001B52A1"/>
    <w:rsid w:val="001B5510"/>
    <w:rsid w:val="001B59F4"/>
    <w:rsid w:val="001B5BD9"/>
    <w:rsid w:val="001B5C35"/>
    <w:rsid w:val="001B5CDB"/>
    <w:rsid w:val="001B5CE0"/>
    <w:rsid w:val="001B608D"/>
    <w:rsid w:val="001B6095"/>
    <w:rsid w:val="001B61CD"/>
    <w:rsid w:val="001B629E"/>
    <w:rsid w:val="001B6402"/>
    <w:rsid w:val="001B6490"/>
    <w:rsid w:val="001B6560"/>
    <w:rsid w:val="001B658F"/>
    <w:rsid w:val="001B68F7"/>
    <w:rsid w:val="001B69A2"/>
    <w:rsid w:val="001B6B7F"/>
    <w:rsid w:val="001B6BB5"/>
    <w:rsid w:val="001B6D52"/>
    <w:rsid w:val="001B6E8E"/>
    <w:rsid w:val="001B6F41"/>
    <w:rsid w:val="001B7602"/>
    <w:rsid w:val="001B77B0"/>
    <w:rsid w:val="001B7A32"/>
    <w:rsid w:val="001B7A38"/>
    <w:rsid w:val="001B7A53"/>
    <w:rsid w:val="001B7CBD"/>
    <w:rsid w:val="001C01B2"/>
    <w:rsid w:val="001C025D"/>
    <w:rsid w:val="001C02B1"/>
    <w:rsid w:val="001C043D"/>
    <w:rsid w:val="001C053E"/>
    <w:rsid w:val="001C06F8"/>
    <w:rsid w:val="001C0A4D"/>
    <w:rsid w:val="001C0AE7"/>
    <w:rsid w:val="001C0D7A"/>
    <w:rsid w:val="001C0DF4"/>
    <w:rsid w:val="001C0F66"/>
    <w:rsid w:val="001C0F71"/>
    <w:rsid w:val="001C0F78"/>
    <w:rsid w:val="001C11CC"/>
    <w:rsid w:val="001C1206"/>
    <w:rsid w:val="001C1281"/>
    <w:rsid w:val="001C1349"/>
    <w:rsid w:val="001C1403"/>
    <w:rsid w:val="001C16A5"/>
    <w:rsid w:val="001C1827"/>
    <w:rsid w:val="001C1837"/>
    <w:rsid w:val="001C1997"/>
    <w:rsid w:val="001C19CE"/>
    <w:rsid w:val="001C1AD3"/>
    <w:rsid w:val="001C1B97"/>
    <w:rsid w:val="001C1B99"/>
    <w:rsid w:val="001C1C81"/>
    <w:rsid w:val="001C1E05"/>
    <w:rsid w:val="001C21E2"/>
    <w:rsid w:val="001C230B"/>
    <w:rsid w:val="001C237D"/>
    <w:rsid w:val="001C2415"/>
    <w:rsid w:val="001C25DC"/>
    <w:rsid w:val="001C27E6"/>
    <w:rsid w:val="001C2940"/>
    <w:rsid w:val="001C2AEF"/>
    <w:rsid w:val="001C2B3C"/>
    <w:rsid w:val="001C2C30"/>
    <w:rsid w:val="001C2C83"/>
    <w:rsid w:val="001C2D73"/>
    <w:rsid w:val="001C2E5D"/>
    <w:rsid w:val="001C2EAC"/>
    <w:rsid w:val="001C2FAA"/>
    <w:rsid w:val="001C317D"/>
    <w:rsid w:val="001C31E5"/>
    <w:rsid w:val="001C333A"/>
    <w:rsid w:val="001C34BC"/>
    <w:rsid w:val="001C3639"/>
    <w:rsid w:val="001C3805"/>
    <w:rsid w:val="001C3936"/>
    <w:rsid w:val="001C3D5C"/>
    <w:rsid w:val="001C40C5"/>
    <w:rsid w:val="001C40DE"/>
    <w:rsid w:val="001C4177"/>
    <w:rsid w:val="001C41B7"/>
    <w:rsid w:val="001C41DC"/>
    <w:rsid w:val="001C4610"/>
    <w:rsid w:val="001C46EC"/>
    <w:rsid w:val="001C4925"/>
    <w:rsid w:val="001C512F"/>
    <w:rsid w:val="001C5690"/>
    <w:rsid w:val="001C57A2"/>
    <w:rsid w:val="001C5878"/>
    <w:rsid w:val="001C58A4"/>
    <w:rsid w:val="001C598B"/>
    <w:rsid w:val="001C5C15"/>
    <w:rsid w:val="001C5C92"/>
    <w:rsid w:val="001C5E10"/>
    <w:rsid w:val="001C5E78"/>
    <w:rsid w:val="001C5E8D"/>
    <w:rsid w:val="001C601B"/>
    <w:rsid w:val="001C6108"/>
    <w:rsid w:val="001C6454"/>
    <w:rsid w:val="001C66EB"/>
    <w:rsid w:val="001C66EC"/>
    <w:rsid w:val="001C67DA"/>
    <w:rsid w:val="001C688B"/>
    <w:rsid w:val="001C6948"/>
    <w:rsid w:val="001C6B44"/>
    <w:rsid w:val="001C6DC7"/>
    <w:rsid w:val="001C6EA2"/>
    <w:rsid w:val="001C6F05"/>
    <w:rsid w:val="001C6F25"/>
    <w:rsid w:val="001C758D"/>
    <w:rsid w:val="001C7989"/>
    <w:rsid w:val="001C7BD0"/>
    <w:rsid w:val="001C7BE0"/>
    <w:rsid w:val="001C7BEE"/>
    <w:rsid w:val="001C7C9F"/>
    <w:rsid w:val="001C7DF9"/>
    <w:rsid w:val="001D0121"/>
    <w:rsid w:val="001D03EE"/>
    <w:rsid w:val="001D10CA"/>
    <w:rsid w:val="001D1183"/>
    <w:rsid w:val="001D1231"/>
    <w:rsid w:val="001D16A5"/>
    <w:rsid w:val="001D16DF"/>
    <w:rsid w:val="001D184A"/>
    <w:rsid w:val="001D1A0C"/>
    <w:rsid w:val="001D1B0F"/>
    <w:rsid w:val="001D1B46"/>
    <w:rsid w:val="001D1B9F"/>
    <w:rsid w:val="001D1BDF"/>
    <w:rsid w:val="001D1BE5"/>
    <w:rsid w:val="001D1D75"/>
    <w:rsid w:val="001D2173"/>
    <w:rsid w:val="001D2264"/>
    <w:rsid w:val="001D23A5"/>
    <w:rsid w:val="001D25B8"/>
    <w:rsid w:val="001D25E9"/>
    <w:rsid w:val="001D26D3"/>
    <w:rsid w:val="001D2820"/>
    <w:rsid w:val="001D2999"/>
    <w:rsid w:val="001D2A60"/>
    <w:rsid w:val="001D2AF6"/>
    <w:rsid w:val="001D2C2A"/>
    <w:rsid w:val="001D2C70"/>
    <w:rsid w:val="001D2D72"/>
    <w:rsid w:val="001D2DF0"/>
    <w:rsid w:val="001D313F"/>
    <w:rsid w:val="001D33D6"/>
    <w:rsid w:val="001D35AE"/>
    <w:rsid w:val="001D36EE"/>
    <w:rsid w:val="001D37A5"/>
    <w:rsid w:val="001D382C"/>
    <w:rsid w:val="001D3862"/>
    <w:rsid w:val="001D38F3"/>
    <w:rsid w:val="001D397F"/>
    <w:rsid w:val="001D42A9"/>
    <w:rsid w:val="001D42E0"/>
    <w:rsid w:val="001D4355"/>
    <w:rsid w:val="001D446E"/>
    <w:rsid w:val="001D45D2"/>
    <w:rsid w:val="001D47DA"/>
    <w:rsid w:val="001D47ED"/>
    <w:rsid w:val="001D48AE"/>
    <w:rsid w:val="001D48CE"/>
    <w:rsid w:val="001D493A"/>
    <w:rsid w:val="001D4941"/>
    <w:rsid w:val="001D4A3B"/>
    <w:rsid w:val="001D4D7D"/>
    <w:rsid w:val="001D4DE1"/>
    <w:rsid w:val="001D4FEC"/>
    <w:rsid w:val="001D5060"/>
    <w:rsid w:val="001D52BA"/>
    <w:rsid w:val="001D5598"/>
    <w:rsid w:val="001D559E"/>
    <w:rsid w:val="001D5A36"/>
    <w:rsid w:val="001D5E63"/>
    <w:rsid w:val="001D5F68"/>
    <w:rsid w:val="001D6022"/>
    <w:rsid w:val="001D612E"/>
    <w:rsid w:val="001D6155"/>
    <w:rsid w:val="001D6279"/>
    <w:rsid w:val="001D6452"/>
    <w:rsid w:val="001D69A2"/>
    <w:rsid w:val="001D6A68"/>
    <w:rsid w:val="001D6A8A"/>
    <w:rsid w:val="001D6E7A"/>
    <w:rsid w:val="001D6EDA"/>
    <w:rsid w:val="001D71B6"/>
    <w:rsid w:val="001D72E6"/>
    <w:rsid w:val="001D72E7"/>
    <w:rsid w:val="001D794D"/>
    <w:rsid w:val="001D7BE9"/>
    <w:rsid w:val="001E0185"/>
    <w:rsid w:val="001E01C7"/>
    <w:rsid w:val="001E0201"/>
    <w:rsid w:val="001E037D"/>
    <w:rsid w:val="001E0BD2"/>
    <w:rsid w:val="001E0C23"/>
    <w:rsid w:val="001E0E37"/>
    <w:rsid w:val="001E0ECA"/>
    <w:rsid w:val="001E0F09"/>
    <w:rsid w:val="001E0FF8"/>
    <w:rsid w:val="001E11C2"/>
    <w:rsid w:val="001E12DE"/>
    <w:rsid w:val="001E1418"/>
    <w:rsid w:val="001E169F"/>
    <w:rsid w:val="001E1737"/>
    <w:rsid w:val="001E1AA8"/>
    <w:rsid w:val="001E227B"/>
    <w:rsid w:val="001E24E4"/>
    <w:rsid w:val="001E2681"/>
    <w:rsid w:val="001E2BAF"/>
    <w:rsid w:val="001E2ECE"/>
    <w:rsid w:val="001E2EF3"/>
    <w:rsid w:val="001E2EFA"/>
    <w:rsid w:val="001E2F3B"/>
    <w:rsid w:val="001E30AD"/>
    <w:rsid w:val="001E33C2"/>
    <w:rsid w:val="001E33DC"/>
    <w:rsid w:val="001E34C4"/>
    <w:rsid w:val="001E3647"/>
    <w:rsid w:val="001E3749"/>
    <w:rsid w:val="001E3868"/>
    <w:rsid w:val="001E3B4B"/>
    <w:rsid w:val="001E3D2A"/>
    <w:rsid w:val="001E3EA4"/>
    <w:rsid w:val="001E3EEC"/>
    <w:rsid w:val="001E3FD9"/>
    <w:rsid w:val="001E4046"/>
    <w:rsid w:val="001E4101"/>
    <w:rsid w:val="001E411C"/>
    <w:rsid w:val="001E4433"/>
    <w:rsid w:val="001E463D"/>
    <w:rsid w:val="001E466B"/>
    <w:rsid w:val="001E49BF"/>
    <w:rsid w:val="001E4B8A"/>
    <w:rsid w:val="001E4C17"/>
    <w:rsid w:val="001E4CD4"/>
    <w:rsid w:val="001E4E62"/>
    <w:rsid w:val="001E52AF"/>
    <w:rsid w:val="001E5305"/>
    <w:rsid w:val="001E5446"/>
    <w:rsid w:val="001E55F7"/>
    <w:rsid w:val="001E58B1"/>
    <w:rsid w:val="001E58DA"/>
    <w:rsid w:val="001E5943"/>
    <w:rsid w:val="001E5D34"/>
    <w:rsid w:val="001E61F3"/>
    <w:rsid w:val="001E62B4"/>
    <w:rsid w:val="001E6692"/>
    <w:rsid w:val="001E67AD"/>
    <w:rsid w:val="001E67BA"/>
    <w:rsid w:val="001E6A20"/>
    <w:rsid w:val="001E6E82"/>
    <w:rsid w:val="001E717C"/>
    <w:rsid w:val="001E7203"/>
    <w:rsid w:val="001E7337"/>
    <w:rsid w:val="001E7375"/>
    <w:rsid w:val="001E73EC"/>
    <w:rsid w:val="001E74A7"/>
    <w:rsid w:val="001E7847"/>
    <w:rsid w:val="001E78DE"/>
    <w:rsid w:val="001E790B"/>
    <w:rsid w:val="001E7A64"/>
    <w:rsid w:val="001E7CA5"/>
    <w:rsid w:val="001E7DAC"/>
    <w:rsid w:val="001E7EC8"/>
    <w:rsid w:val="001F0983"/>
    <w:rsid w:val="001F0A85"/>
    <w:rsid w:val="001F0B85"/>
    <w:rsid w:val="001F0F13"/>
    <w:rsid w:val="001F1008"/>
    <w:rsid w:val="001F14CC"/>
    <w:rsid w:val="001F16D9"/>
    <w:rsid w:val="001F173D"/>
    <w:rsid w:val="001F1784"/>
    <w:rsid w:val="001F184A"/>
    <w:rsid w:val="001F1858"/>
    <w:rsid w:val="001F200C"/>
    <w:rsid w:val="001F2426"/>
    <w:rsid w:val="001F2459"/>
    <w:rsid w:val="001F24C8"/>
    <w:rsid w:val="001F24FD"/>
    <w:rsid w:val="001F2601"/>
    <w:rsid w:val="001F2904"/>
    <w:rsid w:val="001F2C4A"/>
    <w:rsid w:val="001F34F6"/>
    <w:rsid w:val="001F35DE"/>
    <w:rsid w:val="001F368F"/>
    <w:rsid w:val="001F36D8"/>
    <w:rsid w:val="001F379F"/>
    <w:rsid w:val="001F37C9"/>
    <w:rsid w:val="001F3BAC"/>
    <w:rsid w:val="001F3DFA"/>
    <w:rsid w:val="001F3E57"/>
    <w:rsid w:val="001F4014"/>
    <w:rsid w:val="001F41B8"/>
    <w:rsid w:val="001F42B2"/>
    <w:rsid w:val="001F43B0"/>
    <w:rsid w:val="001F44D8"/>
    <w:rsid w:val="001F45F5"/>
    <w:rsid w:val="001F488F"/>
    <w:rsid w:val="001F49B3"/>
    <w:rsid w:val="001F4D45"/>
    <w:rsid w:val="001F4D92"/>
    <w:rsid w:val="001F4E54"/>
    <w:rsid w:val="001F51A8"/>
    <w:rsid w:val="001F5362"/>
    <w:rsid w:val="001F5458"/>
    <w:rsid w:val="001F54A0"/>
    <w:rsid w:val="001F55EB"/>
    <w:rsid w:val="001F56BD"/>
    <w:rsid w:val="001F575D"/>
    <w:rsid w:val="001F5870"/>
    <w:rsid w:val="001F58B0"/>
    <w:rsid w:val="001F590A"/>
    <w:rsid w:val="001F5A85"/>
    <w:rsid w:val="001F605A"/>
    <w:rsid w:val="001F63DA"/>
    <w:rsid w:val="001F6438"/>
    <w:rsid w:val="001F6812"/>
    <w:rsid w:val="001F68C4"/>
    <w:rsid w:val="001F6964"/>
    <w:rsid w:val="001F6C3B"/>
    <w:rsid w:val="001F6F2F"/>
    <w:rsid w:val="001F729A"/>
    <w:rsid w:val="001F749E"/>
    <w:rsid w:val="001F76AB"/>
    <w:rsid w:val="001F77A4"/>
    <w:rsid w:val="001F78B7"/>
    <w:rsid w:val="001F7919"/>
    <w:rsid w:val="001F7B2B"/>
    <w:rsid w:val="001F7B50"/>
    <w:rsid w:val="001F7B6F"/>
    <w:rsid w:val="001F7BDE"/>
    <w:rsid w:val="001F7C00"/>
    <w:rsid w:val="001F7C01"/>
    <w:rsid w:val="001F7D39"/>
    <w:rsid w:val="001F7D49"/>
    <w:rsid w:val="0020059A"/>
    <w:rsid w:val="00200727"/>
    <w:rsid w:val="00200A21"/>
    <w:rsid w:val="00200BF1"/>
    <w:rsid w:val="00200D10"/>
    <w:rsid w:val="0020126D"/>
    <w:rsid w:val="00201280"/>
    <w:rsid w:val="00201AB3"/>
    <w:rsid w:val="00201D22"/>
    <w:rsid w:val="00201E68"/>
    <w:rsid w:val="00201E8A"/>
    <w:rsid w:val="00202764"/>
    <w:rsid w:val="0020298C"/>
    <w:rsid w:val="0020304F"/>
    <w:rsid w:val="002032C1"/>
    <w:rsid w:val="0020343D"/>
    <w:rsid w:val="00203755"/>
    <w:rsid w:val="0020376A"/>
    <w:rsid w:val="00203B0D"/>
    <w:rsid w:val="00204071"/>
    <w:rsid w:val="0020414B"/>
    <w:rsid w:val="00204279"/>
    <w:rsid w:val="0020441A"/>
    <w:rsid w:val="0020441B"/>
    <w:rsid w:val="00204498"/>
    <w:rsid w:val="002044E0"/>
    <w:rsid w:val="002047DF"/>
    <w:rsid w:val="00204846"/>
    <w:rsid w:val="00204949"/>
    <w:rsid w:val="00204A4D"/>
    <w:rsid w:val="00204CD2"/>
    <w:rsid w:val="00204DBA"/>
    <w:rsid w:val="00204DCC"/>
    <w:rsid w:val="00204DD8"/>
    <w:rsid w:val="00204DF6"/>
    <w:rsid w:val="00204E66"/>
    <w:rsid w:val="002050D8"/>
    <w:rsid w:val="0020516E"/>
    <w:rsid w:val="00205251"/>
    <w:rsid w:val="0020592D"/>
    <w:rsid w:val="002059BB"/>
    <w:rsid w:val="00205E9D"/>
    <w:rsid w:val="00205EB7"/>
    <w:rsid w:val="002061A9"/>
    <w:rsid w:val="002061D7"/>
    <w:rsid w:val="00206316"/>
    <w:rsid w:val="002063D4"/>
    <w:rsid w:val="002063E0"/>
    <w:rsid w:val="0020657D"/>
    <w:rsid w:val="002065CE"/>
    <w:rsid w:val="00206825"/>
    <w:rsid w:val="0020683E"/>
    <w:rsid w:val="00206CC4"/>
    <w:rsid w:val="00206EAA"/>
    <w:rsid w:val="00207190"/>
    <w:rsid w:val="002071A6"/>
    <w:rsid w:val="0020749C"/>
    <w:rsid w:val="002076AA"/>
    <w:rsid w:val="0020785A"/>
    <w:rsid w:val="0020793A"/>
    <w:rsid w:val="00207AF7"/>
    <w:rsid w:val="00207C9B"/>
    <w:rsid w:val="00207E7C"/>
    <w:rsid w:val="00207EDC"/>
    <w:rsid w:val="00210042"/>
    <w:rsid w:val="00210555"/>
    <w:rsid w:val="0021069D"/>
    <w:rsid w:val="00210934"/>
    <w:rsid w:val="00210AAF"/>
    <w:rsid w:val="00210D3F"/>
    <w:rsid w:val="00210EF7"/>
    <w:rsid w:val="00210F03"/>
    <w:rsid w:val="00210F51"/>
    <w:rsid w:val="00210F5D"/>
    <w:rsid w:val="0021123D"/>
    <w:rsid w:val="002112DD"/>
    <w:rsid w:val="002112EB"/>
    <w:rsid w:val="00211375"/>
    <w:rsid w:val="002114AC"/>
    <w:rsid w:val="00211569"/>
    <w:rsid w:val="002115BF"/>
    <w:rsid w:val="002116AA"/>
    <w:rsid w:val="00211947"/>
    <w:rsid w:val="00211BDA"/>
    <w:rsid w:val="00211DF8"/>
    <w:rsid w:val="00211E86"/>
    <w:rsid w:val="00211EFB"/>
    <w:rsid w:val="002120B9"/>
    <w:rsid w:val="0021217E"/>
    <w:rsid w:val="00212456"/>
    <w:rsid w:val="00212913"/>
    <w:rsid w:val="002129C6"/>
    <w:rsid w:val="00212AF3"/>
    <w:rsid w:val="00212B38"/>
    <w:rsid w:val="00212B48"/>
    <w:rsid w:val="00212CE0"/>
    <w:rsid w:val="00212D70"/>
    <w:rsid w:val="00212F16"/>
    <w:rsid w:val="00212F41"/>
    <w:rsid w:val="00213119"/>
    <w:rsid w:val="002134AB"/>
    <w:rsid w:val="00213675"/>
    <w:rsid w:val="00213831"/>
    <w:rsid w:val="002138BB"/>
    <w:rsid w:val="0021395C"/>
    <w:rsid w:val="0021395D"/>
    <w:rsid w:val="00213BF2"/>
    <w:rsid w:val="00213E55"/>
    <w:rsid w:val="00214115"/>
    <w:rsid w:val="00214169"/>
    <w:rsid w:val="00214349"/>
    <w:rsid w:val="002143C4"/>
    <w:rsid w:val="002145B5"/>
    <w:rsid w:val="00214614"/>
    <w:rsid w:val="0021472A"/>
    <w:rsid w:val="00214960"/>
    <w:rsid w:val="0021498F"/>
    <w:rsid w:val="00214CCF"/>
    <w:rsid w:val="00214E0E"/>
    <w:rsid w:val="00214E94"/>
    <w:rsid w:val="00214EFB"/>
    <w:rsid w:val="00214F55"/>
    <w:rsid w:val="00215269"/>
    <w:rsid w:val="00215468"/>
    <w:rsid w:val="00215475"/>
    <w:rsid w:val="002155D9"/>
    <w:rsid w:val="0021565C"/>
    <w:rsid w:val="0021575F"/>
    <w:rsid w:val="00215A26"/>
    <w:rsid w:val="00215BB6"/>
    <w:rsid w:val="00215BFD"/>
    <w:rsid w:val="00215C37"/>
    <w:rsid w:val="00215E4B"/>
    <w:rsid w:val="00215FAA"/>
    <w:rsid w:val="00216166"/>
    <w:rsid w:val="0021618B"/>
    <w:rsid w:val="002161F9"/>
    <w:rsid w:val="0021621F"/>
    <w:rsid w:val="00216256"/>
    <w:rsid w:val="002165CD"/>
    <w:rsid w:val="002168E6"/>
    <w:rsid w:val="00216B0C"/>
    <w:rsid w:val="00216BBA"/>
    <w:rsid w:val="00216BFB"/>
    <w:rsid w:val="00216E50"/>
    <w:rsid w:val="0021723E"/>
    <w:rsid w:val="002175C5"/>
    <w:rsid w:val="00217719"/>
    <w:rsid w:val="00217742"/>
    <w:rsid w:val="00217C80"/>
    <w:rsid w:val="00217CAA"/>
    <w:rsid w:val="00217D74"/>
    <w:rsid w:val="00217DF3"/>
    <w:rsid w:val="00217F65"/>
    <w:rsid w:val="002200AF"/>
    <w:rsid w:val="002202BB"/>
    <w:rsid w:val="002204A3"/>
    <w:rsid w:val="00220732"/>
    <w:rsid w:val="00220789"/>
    <w:rsid w:val="00220ABC"/>
    <w:rsid w:val="00220B04"/>
    <w:rsid w:val="00220D6F"/>
    <w:rsid w:val="00221052"/>
    <w:rsid w:val="00221071"/>
    <w:rsid w:val="002212D5"/>
    <w:rsid w:val="0022130B"/>
    <w:rsid w:val="00221B81"/>
    <w:rsid w:val="00221EEE"/>
    <w:rsid w:val="002221FC"/>
    <w:rsid w:val="00222325"/>
    <w:rsid w:val="002224D9"/>
    <w:rsid w:val="0022252C"/>
    <w:rsid w:val="002228D9"/>
    <w:rsid w:val="00222952"/>
    <w:rsid w:val="00222A3F"/>
    <w:rsid w:val="00222B88"/>
    <w:rsid w:val="00222DE1"/>
    <w:rsid w:val="00222F0A"/>
    <w:rsid w:val="00222F9B"/>
    <w:rsid w:val="002233D0"/>
    <w:rsid w:val="0022353B"/>
    <w:rsid w:val="00223565"/>
    <w:rsid w:val="00223C29"/>
    <w:rsid w:val="00223DEC"/>
    <w:rsid w:val="00223E43"/>
    <w:rsid w:val="0022410A"/>
    <w:rsid w:val="002241DE"/>
    <w:rsid w:val="00224201"/>
    <w:rsid w:val="002242CA"/>
    <w:rsid w:val="00224430"/>
    <w:rsid w:val="00224539"/>
    <w:rsid w:val="00224613"/>
    <w:rsid w:val="0022473C"/>
    <w:rsid w:val="00225041"/>
    <w:rsid w:val="002254BD"/>
    <w:rsid w:val="002258FB"/>
    <w:rsid w:val="00225A80"/>
    <w:rsid w:val="00225AE8"/>
    <w:rsid w:val="00225B7A"/>
    <w:rsid w:val="00225BC8"/>
    <w:rsid w:val="00225D71"/>
    <w:rsid w:val="00225E01"/>
    <w:rsid w:val="00225E25"/>
    <w:rsid w:val="0022607C"/>
    <w:rsid w:val="00226104"/>
    <w:rsid w:val="002264A7"/>
    <w:rsid w:val="00227174"/>
    <w:rsid w:val="002273D9"/>
    <w:rsid w:val="0022742C"/>
    <w:rsid w:val="0022756D"/>
    <w:rsid w:val="00227737"/>
    <w:rsid w:val="0022780B"/>
    <w:rsid w:val="0022785B"/>
    <w:rsid w:val="00227C61"/>
    <w:rsid w:val="00227E1A"/>
    <w:rsid w:val="0023030B"/>
    <w:rsid w:val="00230395"/>
    <w:rsid w:val="002303D9"/>
    <w:rsid w:val="0023040F"/>
    <w:rsid w:val="00230458"/>
    <w:rsid w:val="00230467"/>
    <w:rsid w:val="00230853"/>
    <w:rsid w:val="00230C2D"/>
    <w:rsid w:val="00230DDC"/>
    <w:rsid w:val="00230DF6"/>
    <w:rsid w:val="00230F93"/>
    <w:rsid w:val="002311A8"/>
    <w:rsid w:val="0023137D"/>
    <w:rsid w:val="00231761"/>
    <w:rsid w:val="002317E2"/>
    <w:rsid w:val="00231899"/>
    <w:rsid w:val="0023189E"/>
    <w:rsid w:val="00231B49"/>
    <w:rsid w:val="00231C1C"/>
    <w:rsid w:val="00231F25"/>
    <w:rsid w:val="002320C7"/>
    <w:rsid w:val="00232138"/>
    <w:rsid w:val="0023229D"/>
    <w:rsid w:val="002322DA"/>
    <w:rsid w:val="002324F1"/>
    <w:rsid w:val="00232540"/>
    <w:rsid w:val="0023254A"/>
    <w:rsid w:val="002329B7"/>
    <w:rsid w:val="00232E78"/>
    <w:rsid w:val="00232E8A"/>
    <w:rsid w:val="00232F81"/>
    <w:rsid w:val="002330EB"/>
    <w:rsid w:val="00233268"/>
    <w:rsid w:val="002333A4"/>
    <w:rsid w:val="002334AD"/>
    <w:rsid w:val="00233578"/>
    <w:rsid w:val="002336A8"/>
    <w:rsid w:val="002336AD"/>
    <w:rsid w:val="00233721"/>
    <w:rsid w:val="00233A60"/>
    <w:rsid w:val="00233C37"/>
    <w:rsid w:val="00233DF6"/>
    <w:rsid w:val="00233EF0"/>
    <w:rsid w:val="00233F39"/>
    <w:rsid w:val="00234127"/>
    <w:rsid w:val="00234438"/>
    <w:rsid w:val="002345AB"/>
    <w:rsid w:val="00234659"/>
    <w:rsid w:val="002346A7"/>
    <w:rsid w:val="002346B7"/>
    <w:rsid w:val="002346F2"/>
    <w:rsid w:val="00234704"/>
    <w:rsid w:val="00234721"/>
    <w:rsid w:val="002347B7"/>
    <w:rsid w:val="002348D1"/>
    <w:rsid w:val="00234939"/>
    <w:rsid w:val="00234951"/>
    <w:rsid w:val="00234B19"/>
    <w:rsid w:val="00234CA8"/>
    <w:rsid w:val="00234E14"/>
    <w:rsid w:val="00234F15"/>
    <w:rsid w:val="00234F5C"/>
    <w:rsid w:val="00234FB4"/>
    <w:rsid w:val="00235214"/>
    <w:rsid w:val="002352CF"/>
    <w:rsid w:val="0023531F"/>
    <w:rsid w:val="00235408"/>
    <w:rsid w:val="00235593"/>
    <w:rsid w:val="002357FF"/>
    <w:rsid w:val="00235870"/>
    <w:rsid w:val="00235894"/>
    <w:rsid w:val="00235B84"/>
    <w:rsid w:val="00235DFC"/>
    <w:rsid w:val="00235E17"/>
    <w:rsid w:val="0023607A"/>
    <w:rsid w:val="002361E1"/>
    <w:rsid w:val="002362AB"/>
    <w:rsid w:val="002362B6"/>
    <w:rsid w:val="002363EA"/>
    <w:rsid w:val="002364B7"/>
    <w:rsid w:val="002364F7"/>
    <w:rsid w:val="002365F6"/>
    <w:rsid w:val="002367F4"/>
    <w:rsid w:val="0023687B"/>
    <w:rsid w:val="002368DE"/>
    <w:rsid w:val="00236982"/>
    <w:rsid w:val="00236B53"/>
    <w:rsid w:val="00236C97"/>
    <w:rsid w:val="00236E34"/>
    <w:rsid w:val="00236FDC"/>
    <w:rsid w:val="0023701C"/>
    <w:rsid w:val="0023704E"/>
    <w:rsid w:val="00237127"/>
    <w:rsid w:val="002371EF"/>
    <w:rsid w:val="00237205"/>
    <w:rsid w:val="0023737C"/>
    <w:rsid w:val="00237528"/>
    <w:rsid w:val="00237602"/>
    <w:rsid w:val="0023761D"/>
    <w:rsid w:val="002378C0"/>
    <w:rsid w:val="00237B09"/>
    <w:rsid w:val="00237BF9"/>
    <w:rsid w:val="00240234"/>
    <w:rsid w:val="00240275"/>
    <w:rsid w:val="00240306"/>
    <w:rsid w:val="002405EA"/>
    <w:rsid w:val="00240709"/>
    <w:rsid w:val="00240861"/>
    <w:rsid w:val="00240CFE"/>
    <w:rsid w:val="00240D6B"/>
    <w:rsid w:val="00240FEB"/>
    <w:rsid w:val="00241102"/>
    <w:rsid w:val="002411B2"/>
    <w:rsid w:val="00241593"/>
    <w:rsid w:val="002419AD"/>
    <w:rsid w:val="00241B88"/>
    <w:rsid w:val="00242571"/>
    <w:rsid w:val="0024274F"/>
    <w:rsid w:val="00242905"/>
    <w:rsid w:val="002429BD"/>
    <w:rsid w:val="00242B4A"/>
    <w:rsid w:val="00242DE4"/>
    <w:rsid w:val="00242DF6"/>
    <w:rsid w:val="002430D0"/>
    <w:rsid w:val="00243111"/>
    <w:rsid w:val="00243726"/>
    <w:rsid w:val="00243822"/>
    <w:rsid w:val="00243A8E"/>
    <w:rsid w:val="00243E8F"/>
    <w:rsid w:val="00244249"/>
    <w:rsid w:val="002443DF"/>
    <w:rsid w:val="0024496A"/>
    <w:rsid w:val="0024499D"/>
    <w:rsid w:val="00244A1D"/>
    <w:rsid w:val="00244A3D"/>
    <w:rsid w:val="00244A77"/>
    <w:rsid w:val="00244AB3"/>
    <w:rsid w:val="00244B05"/>
    <w:rsid w:val="00244CD6"/>
    <w:rsid w:val="00244FCA"/>
    <w:rsid w:val="002452A4"/>
    <w:rsid w:val="002453B9"/>
    <w:rsid w:val="002454BD"/>
    <w:rsid w:val="00245593"/>
    <w:rsid w:val="002455E9"/>
    <w:rsid w:val="00245700"/>
    <w:rsid w:val="002457BB"/>
    <w:rsid w:val="0024583A"/>
    <w:rsid w:val="00245A3F"/>
    <w:rsid w:val="00245C17"/>
    <w:rsid w:val="00245D10"/>
    <w:rsid w:val="00245DA6"/>
    <w:rsid w:val="00245EFC"/>
    <w:rsid w:val="00246074"/>
    <w:rsid w:val="00246555"/>
    <w:rsid w:val="002466F9"/>
    <w:rsid w:val="00246B0B"/>
    <w:rsid w:val="00246B7B"/>
    <w:rsid w:val="00246C27"/>
    <w:rsid w:val="00246E1D"/>
    <w:rsid w:val="00247010"/>
    <w:rsid w:val="0024704C"/>
    <w:rsid w:val="002473D3"/>
    <w:rsid w:val="00247458"/>
    <w:rsid w:val="0024750E"/>
    <w:rsid w:val="0024764B"/>
    <w:rsid w:val="00247834"/>
    <w:rsid w:val="0024788A"/>
    <w:rsid w:val="002479A0"/>
    <w:rsid w:val="00247AE5"/>
    <w:rsid w:val="00247B0B"/>
    <w:rsid w:val="00247B9F"/>
    <w:rsid w:val="00247BBA"/>
    <w:rsid w:val="00247BC1"/>
    <w:rsid w:val="00247D28"/>
    <w:rsid w:val="00247DE5"/>
    <w:rsid w:val="00247DF3"/>
    <w:rsid w:val="0025015F"/>
    <w:rsid w:val="00250477"/>
    <w:rsid w:val="0025048C"/>
    <w:rsid w:val="00250559"/>
    <w:rsid w:val="0025083B"/>
    <w:rsid w:val="00250901"/>
    <w:rsid w:val="00250E4E"/>
    <w:rsid w:val="00250E5A"/>
    <w:rsid w:val="00250F12"/>
    <w:rsid w:val="00251155"/>
    <w:rsid w:val="002511C5"/>
    <w:rsid w:val="0025131B"/>
    <w:rsid w:val="002513EE"/>
    <w:rsid w:val="0025150B"/>
    <w:rsid w:val="00251571"/>
    <w:rsid w:val="002518F8"/>
    <w:rsid w:val="00251D90"/>
    <w:rsid w:val="002520A5"/>
    <w:rsid w:val="002520A7"/>
    <w:rsid w:val="0025216F"/>
    <w:rsid w:val="00252195"/>
    <w:rsid w:val="002521EA"/>
    <w:rsid w:val="00252410"/>
    <w:rsid w:val="0025272A"/>
    <w:rsid w:val="002527C9"/>
    <w:rsid w:val="00252BAE"/>
    <w:rsid w:val="00252F45"/>
    <w:rsid w:val="002530EB"/>
    <w:rsid w:val="00253132"/>
    <w:rsid w:val="002532BE"/>
    <w:rsid w:val="002532C9"/>
    <w:rsid w:val="002534A8"/>
    <w:rsid w:val="00253536"/>
    <w:rsid w:val="002537A3"/>
    <w:rsid w:val="002537F2"/>
    <w:rsid w:val="0025382D"/>
    <w:rsid w:val="00253988"/>
    <w:rsid w:val="00253B42"/>
    <w:rsid w:val="00253BB0"/>
    <w:rsid w:val="00253CE3"/>
    <w:rsid w:val="002542B4"/>
    <w:rsid w:val="0025439B"/>
    <w:rsid w:val="002543BB"/>
    <w:rsid w:val="002543C1"/>
    <w:rsid w:val="002544A7"/>
    <w:rsid w:val="002548B7"/>
    <w:rsid w:val="00254B1F"/>
    <w:rsid w:val="00254B25"/>
    <w:rsid w:val="00254C8B"/>
    <w:rsid w:val="00254D11"/>
    <w:rsid w:val="00254DBA"/>
    <w:rsid w:val="00254FE6"/>
    <w:rsid w:val="0025500A"/>
    <w:rsid w:val="00255012"/>
    <w:rsid w:val="00255162"/>
    <w:rsid w:val="002551D5"/>
    <w:rsid w:val="002552C3"/>
    <w:rsid w:val="002554D4"/>
    <w:rsid w:val="002555FE"/>
    <w:rsid w:val="002556A0"/>
    <w:rsid w:val="0025574B"/>
    <w:rsid w:val="002558E7"/>
    <w:rsid w:val="00255EA6"/>
    <w:rsid w:val="00255EB9"/>
    <w:rsid w:val="00255F43"/>
    <w:rsid w:val="00256199"/>
    <w:rsid w:val="00256327"/>
    <w:rsid w:val="0025644A"/>
    <w:rsid w:val="002565FE"/>
    <w:rsid w:val="00256713"/>
    <w:rsid w:val="002569E2"/>
    <w:rsid w:val="00256A49"/>
    <w:rsid w:val="00256C1C"/>
    <w:rsid w:val="00256CCF"/>
    <w:rsid w:val="00256F1B"/>
    <w:rsid w:val="00257174"/>
    <w:rsid w:val="00257443"/>
    <w:rsid w:val="00257837"/>
    <w:rsid w:val="00257855"/>
    <w:rsid w:val="0025786E"/>
    <w:rsid w:val="00257A91"/>
    <w:rsid w:val="00257AFC"/>
    <w:rsid w:val="00257B17"/>
    <w:rsid w:val="00257B3B"/>
    <w:rsid w:val="00257CAC"/>
    <w:rsid w:val="0026015B"/>
    <w:rsid w:val="002601F1"/>
    <w:rsid w:val="0026035D"/>
    <w:rsid w:val="002605C3"/>
    <w:rsid w:val="00260AF6"/>
    <w:rsid w:val="00260D0C"/>
    <w:rsid w:val="00261321"/>
    <w:rsid w:val="00261A11"/>
    <w:rsid w:val="00261C6F"/>
    <w:rsid w:val="00261D22"/>
    <w:rsid w:val="00262297"/>
    <w:rsid w:val="002625AD"/>
    <w:rsid w:val="002625EB"/>
    <w:rsid w:val="002625FE"/>
    <w:rsid w:val="00262665"/>
    <w:rsid w:val="002628F5"/>
    <w:rsid w:val="00262B66"/>
    <w:rsid w:val="00262C08"/>
    <w:rsid w:val="00262E0A"/>
    <w:rsid w:val="002630B2"/>
    <w:rsid w:val="002630D5"/>
    <w:rsid w:val="00263129"/>
    <w:rsid w:val="0026317B"/>
    <w:rsid w:val="00263390"/>
    <w:rsid w:val="00263464"/>
    <w:rsid w:val="00263573"/>
    <w:rsid w:val="00263589"/>
    <w:rsid w:val="00263675"/>
    <w:rsid w:val="00263A01"/>
    <w:rsid w:val="00263A77"/>
    <w:rsid w:val="00263B78"/>
    <w:rsid w:val="00263D3E"/>
    <w:rsid w:val="00263E8B"/>
    <w:rsid w:val="00263EEA"/>
    <w:rsid w:val="00263F34"/>
    <w:rsid w:val="0026450B"/>
    <w:rsid w:val="002645D3"/>
    <w:rsid w:val="00264751"/>
    <w:rsid w:val="0026481E"/>
    <w:rsid w:val="002649BF"/>
    <w:rsid w:val="00264AAF"/>
    <w:rsid w:val="002651AD"/>
    <w:rsid w:val="0026549E"/>
    <w:rsid w:val="002659CC"/>
    <w:rsid w:val="00265D89"/>
    <w:rsid w:val="0026603A"/>
    <w:rsid w:val="00266046"/>
    <w:rsid w:val="002662DB"/>
    <w:rsid w:val="002663DB"/>
    <w:rsid w:val="002666A9"/>
    <w:rsid w:val="002666FA"/>
    <w:rsid w:val="002669F2"/>
    <w:rsid w:val="00266CF1"/>
    <w:rsid w:val="00266E7C"/>
    <w:rsid w:val="00267062"/>
    <w:rsid w:val="002670B2"/>
    <w:rsid w:val="0026717B"/>
    <w:rsid w:val="0026723A"/>
    <w:rsid w:val="002675D1"/>
    <w:rsid w:val="0026786E"/>
    <w:rsid w:val="00267975"/>
    <w:rsid w:val="00267A9F"/>
    <w:rsid w:val="00267CEE"/>
    <w:rsid w:val="00267EC9"/>
    <w:rsid w:val="0027039E"/>
    <w:rsid w:val="00270448"/>
    <w:rsid w:val="0027049A"/>
    <w:rsid w:val="002706A0"/>
    <w:rsid w:val="00270C99"/>
    <w:rsid w:val="00270F17"/>
    <w:rsid w:val="00271029"/>
    <w:rsid w:val="002710AF"/>
    <w:rsid w:val="0027111B"/>
    <w:rsid w:val="00271251"/>
    <w:rsid w:val="0027154B"/>
    <w:rsid w:val="00271587"/>
    <w:rsid w:val="002719CD"/>
    <w:rsid w:val="002719DC"/>
    <w:rsid w:val="00271A65"/>
    <w:rsid w:val="00271BB6"/>
    <w:rsid w:val="00271C8D"/>
    <w:rsid w:val="00271DA8"/>
    <w:rsid w:val="00271DD0"/>
    <w:rsid w:val="00271DD8"/>
    <w:rsid w:val="00271DF2"/>
    <w:rsid w:val="0027245F"/>
    <w:rsid w:val="0027250A"/>
    <w:rsid w:val="0027256A"/>
    <w:rsid w:val="002726A8"/>
    <w:rsid w:val="002726F6"/>
    <w:rsid w:val="0027287D"/>
    <w:rsid w:val="00272A3E"/>
    <w:rsid w:val="00272AE1"/>
    <w:rsid w:val="002732AE"/>
    <w:rsid w:val="002732D1"/>
    <w:rsid w:val="0027337C"/>
    <w:rsid w:val="00273692"/>
    <w:rsid w:val="00273941"/>
    <w:rsid w:val="00273A68"/>
    <w:rsid w:val="00273E5E"/>
    <w:rsid w:val="002741EB"/>
    <w:rsid w:val="002743F7"/>
    <w:rsid w:val="00274496"/>
    <w:rsid w:val="00274B8C"/>
    <w:rsid w:val="00274BFB"/>
    <w:rsid w:val="00274E74"/>
    <w:rsid w:val="00274E77"/>
    <w:rsid w:val="00274F55"/>
    <w:rsid w:val="0027519C"/>
    <w:rsid w:val="00275254"/>
    <w:rsid w:val="00275624"/>
    <w:rsid w:val="0027569A"/>
    <w:rsid w:val="00275861"/>
    <w:rsid w:val="00275912"/>
    <w:rsid w:val="00275977"/>
    <w:rsid w:val="00275C40"/>
    <w:rsid w:val="00275DBF"/>
    <w:rsid w:val="00275E97"/>
    <w:rsid w:val="00276028"/>
    <w:rsid w:val="0027613C"/>
    <w:rsid w:val="002762EB"/>
    <w:rsid w:val="0027653F"/>
    <w:rsid w:val="00276716"/>
    <w:rsid w:val="0027682E"/>
    <w:rsid w:val="002768B2"/>
    <w:rsid w:val="00276A26"/>
    <w:rsid w:val="00276AFA"/>
    <w:rsid w:val="00276C5E"/>
    <w:rsid w:val="00276EFA"/>
    <w:rsid w:val="00276FBC"/>
    <w:rsid w:val="002771F9"/>
    <w:rsid w:val="00277287"/>
    <w:rsid w:val="0027741F"/>
    <w:rsid w:val="002774A5"/>
    <w:rsid w:val="002774B9"/>
    <w:rsid w:val="00277541"/>
    <w:rsid w:val="002776E6"/>
    <w:rsid w:val="00277707"/>
    <w:rsid w:val="002778A2"/>
    <w:rsid w:val="00277A1F"/>
    <w:rsid w:val="00277A7F"/>
    <w:rsid w:val="00277A90"/>
    <w:rsid w:val="00277AFE"/>
    <w:rsid w:val="00277B6F"/>
    <w:rsid w:val="00277BA3"/>
    <w:rsid w:val="00277D1F"/>
    <w:rsid w:val="00277E03"/>
    <w:rsid w:val="00277EE3"/>
    <w:rsid w:val="0028004F"/>
    <w:rsid w:val="0028013F"/>
    <w:rsid w:val="002802F9"/>
    <w:rsid w:val="0028062E"/>
    <w:rsid w:val="0028099E"/>
    <w:rsid w:val="00280B1E"/>
    <w:rsid w:val="00280E32"/>
    <w:rsid w:val="00280E4C"/>
    <w:rsid w:val="00280F30"/>
    <w:rsid w:val="00280FF7"/>
    <w:rsid w:val="00281001"/>
    <w:rsid w:val="002811D2"/>
    <w:rsid w:val="002812F6"/>
    <w:rsid w:val="002814A1"/>
    <w:rsid w:val="002814EE"/>
    <w:rsid w:val="00281573"/>
    <w:rsid w:val="0028159F"/>
    <w:rsid w:val="00281809"/>
    <w:rsid w:val="0028187B"/>
    <w:rsid w:val="002819D2"/>
    <w:rsid w:val="00281A83"/>
    <w:rsid w:val="00281B1E"/>
    <w:rsid w:val="00281DD7"/>
    <w:rsid w:val="00281E28"/>
    <w:rsid w:val="00281F8E"/>
    <w:rsid w:val="0028297E"/>
    <w:rsid w:val="00282A46"/>
    <w:rsid w:val="00282E78"/>
    <w:rsid w:val="00282F36"/>
    <w:rsid w:val="00282F54"/>
    <w:rsid w:val="002831AE"/>
    <w:rsid w:val="002832CF"/>
    <w:rsid w:val="002832E6"/>
    <w:rsid w:val="0028340F"/>
    <w:rsid w:val="0028344F"/>
    <w:rsid w:val="00283452"/>
    <w:rsid w:val="002834BC"/>
    <w:rsid w:val="00283530"/>
    <w:rsid w:val="00283764"/>
    <w:rsid w:val="00283980"/>
    <w:rsid w:val="00283C5E"/>
    <w:rsid w:val="00283D61"/>
    <w:rsid w:val="00283D69"/>
    <w:rsid w:val="00283DCD"/>
    <w:rsid w:val="0028400A"/>
    <w:rsid w:val="00284022"/>
    <w:rsid w:val="0028405F"/>
    <w:rsid w:val="00284125"/>
    <w:rsid w:val="00284191"/>
    <w:rsid w:val="002846C9"/>
    <w:rsid w:val="002847B0"/>
    <w:rsid w:val="00284882"/>
    <w:rsid w:val="00284AAE"/>
    <w:rsid w:val="00284AF4"/>
    <w:rsid w:val="00284E43"/>
    <w:rsid w:val="00284F3D"/>
    <w:rsid w:val="00285322"/>
    <w:rsid w:val="00285849"/>
    <w:rsid w:val="00285A67"/>
    <w:rsid w:val="00285AB0"/>
    <w:rsid w:val="00285AB2"/>
    <w:rsid w:val="00285AD2"/>
    <w:rsid w:val="00285BE3"/>
    <w:rsid w:val="00286044"/>
    <w:rsid w:val="002861F6"/>
    <w:rsid w:val="002861FD"/>
    <w:rsid w:val="0028639B"/>
    <w:rsid w:val="002864BB"/>
    <w:rsid w:val="002865F3"/>
    <w:rsid w:val="00286876"/>
    <w:rsid w:val="002868B3"/>
    <w:rsid w:val="00286B85"/>
    <w:rsid w:val="00286DC8"/>
    <w:rsid w:val="00286E2B"/>
    <w:rsid w:val="00286ECD"/>
    <w:rsid w:val="00286FCC"/>
    <w:rsid w:val="00287168"/>
    <w:rsid w:val="00287210"/>
    <w:rsid w:val="002874B4"/>
    <w:rsid w:val="0028779F"/>
    <w:rsid w:val="0028781C"/>
    <w:rsid w:val="00287A80"/>
    <w:rsid w:val="00287C77"/>
    <w:rsid w:val="00287D21"/>
    <w:rsid w:val="00287D8A"/>
    <w:rsid w:val="00287FEB"/>
    <w:rsid w:val="0029036E"/>
    <w:rsid w:val="00290681"/>
    <w:rsid w:val="00290858"/>
    <w:rsid w:val="00290A09"/>
    <w:rsid w:val="00290A77"/>
    <w:rsid w:val="00290C0C"/>
    <w:rsid w:val="00290C42"/>
    <w:rsid w:val="00290D5C"/>
    <w:rsid w:val="00290DEA"/>
    <w:rsid w:val="00290E92"/>
    <w:rsid w:val="002911A1"/>
    <w:rsid w:val="002912F7"/>
    <w:rsid w:val="002913BE"/>
    <w:rsid w:val="002915D8"/>
    <w:rsid w:val="00291728"/>
    <w:rsid w:val="0029201B"/>
    <w:rsid w:val="002920AA"/>
    <w:rsid w:val="002920E4"/>
    <w:rsid w:val="0029212F"/>
    <w:rsid w:val="002921C4"/>
    <w:rsid w:val="002921DA"/>
    <w:rsid w:val="0029238D"/>
    <w:rsid w:val="002924A2"/>
    <w:rsid w:val="00292508"/>
    <w:rsid w:val="00292597"/>
    <w:rsid w:val="00292CA2"/>
    <w:rsid w:val="00293115"/>
    <w:rsid w:val="00293BFD"/>
    <w:rsid w:val="00293E20"/>
    <w:rsid w:val="00293F25"/>
    <w:rsid w:val="00293F28"/>
    <w:rsid w:val="00293F8E"/>
    <w:rsid w:val="002940DB"/>
    <w:rsid w:val="00294186"/>
    <w:rsid w:val="002941CD"/>
    <w:rsid w:val="00294310"/>
    <w:rsid w:val="002945C6"/>
    <w:rsid w:val="00294BC9"/>
    <w:rsid w:val="00294F00"/>
    <w:rsid w:val="00295028"/>
    <w:rsid w:val="002954ED"/>
    <w:rsid w:val="0029551C"/>
    <w:rsid w:val="00295639"/>
    <w:rsid w:val="00295CA4"/>
    <w:rsid w:val="00295ECB"/>
    <w:rsid w:val="00296015"/>
    <w:rsid w:val="0029621E"/>
    <w:rsid w:val="00296297"/>
    <w:rsid w:val="002966A9"/>
    <w:rsid w:val="0029680C"/>
    <w:rsid w:val="002968C0"/>
    <w:rsid w:val="00297326"/>
    <w:rsid w:val="002974F3"/>
    <w:rsid w:val="002975C7"/>
    <w:rsid w:val="00297782"/>
    <w:rsid w:val="0029784D"/>
    <w:rsid w:val="00297BB0"/>
    <w:rsid w:val="002A019B"/>
    <w:rsid w:val="002A068E"/>
    <w:rsid w:val="002A0B14"/>
    <w:rsid w:val="002A0BFC"/>
    <w:rsid w:val="002A0D05"/>
    <w:rsid w:val="002A0D69"/>
    <w:rsid w:val="002A0D77"/>
    <w:rsid w:val="002A0E36"/>
    <w:rsid w:val="002A0F6F"/>
    <w:rsid w:val="002A0F70"/>
    <w:rsid w:val="002A15A2"/>
    <w:rsid w:val="002A184E"/>
    <w:rsid w:val="002A196D"/>
    <w:rsid w:val="002A1B8A"/>
    <w:rsid w:val="002A1C09"/>
    <w:rsid w:val="002A1DC3"/>
    <w:rsid w:val="002A1DDC"/>
    <w:rsid w:val="002A1E36"/>
    <w:rsid w:val="002A2127"/>
    <w:rsid w:val="002A21DA"/>
    <w:rsid w:val="002A22BC"/>
    <w:rsid w:val="002A2478"/>
    <w:rsid w:val="002A2547"/>
    <w:rsid w:val="002A2827"/>
    <w:rsid w:val="002A2ADC"/>
    <w:rsid w:val="002A2C51"/>
    <w:rsid w:val="002A2EFF"/>
    <w:rsid w:val="002A2F6B"/>
    <w:rsid w:val="002A30E6"/>
    <w:rsid w:val="002A3411"/>
    <w:rsid w:val="002A34B6"/>
    <w:rsid w:val="002A377E"/>
    <w:rsid w:val="002A39D1"/>
    <w:rsid w:val="002A3A16"/>
    <w:rsid w:val="002A3C5A"/>
    <w:rsid w:val="002A3F59"/>
    <w:rsid w:val="002A40DA"/>
    <w:rsid w:val="002A423F"/>
    <w:rsid w:val="002A429C"/>
    <w:rsid w:val="002A4363"/>
    <w:rsid w:val="002A4371"/>
    <w:rsid w:val="002A43DE"/>
    <w:rsid w:val="002A4517"/>
    <w:rsid w:val="002A452F"/>
    <w:rsid w:val="002A49DA"/>
    <w:rsid w:val="002A4CBC"/>
    <w:rsid w:val="002A4E59"/>
    <w:rsid w:val="002A52B6"/>
    <w:rsid w:val="002A53DE"/>
    <w:rsid w:val="002A54FD"/>
    <w:rsid w:val="002A5561"/>
    <w:rsid w:val="002A559F"/>
    <w:rsid w:val="002A5613"/>
    <w:rsid w:val="002A56CF"/>
    <w:rsid w:val="002A5790"/>
    <w:rsid w:val="002A57CA"/>
    <w:rsid w:val="002A59AA"/>
    <w:rsid w:val="002A5BE8"/>
    <w:rsid w:val="002A5C7A"/>
    <w:rsid w:val="002A5D4B"/>
    <w:rsid w:val="002A6170"/>
    <w:rsid w:val="002A632C"/>
    <w:rsid w:val="002A6489"/>
    <w:rsid w:val="002A6526"/>
    <w:rsid w:val="002A653D"/>
    <w:rsid w:val="002A66B8"/>
    <w:rsid w:val="002A6800"/>
    <w:rsid w:val="002A68C1"/>
    <w:rsid w:val="002A6993"/>
    <w:rsid w:val="002A6E57"/>
    <w:rsid w:val="002A6EFA"/>
    <w:rsid w:val="002A7191"/>
    <w:rsid w:val="002A73F5"/>
    <w:rsid w:val="002A75E8"/>
    <w:rsid w:val="002A7717"/>
    <w:rsid w:val="002A77F2"/>
    <w:rsid w:val="002A790A"/>
    <w:rsid w:val="002A7B45"/>
    <w:rsid w:val="002A7C33"/>
    <w:rsid w:val="002A7C39"/>
    <w:rsid w:val="002A7F2E"/>
    <w:rsid w:val="002A7FBA"/>
    <w:rsid w:val="002B00E0"/>
    <w:rsid w:val="002B012F"/>
    <w:rsid w:val="002B02E7"/>
    <w:rsid w:val="002B0318"/>
    <w:rsid w:val="002B03D0"/>
    <w:rsid w:val="002B052D"/>
    <w:rsid w:val="002B0533"/>
    <w:rsid w:val="002B0538"/>
    <w:rsid w:val="002B0560"/>
    <w:rsid w:val="002B08EC"/>
    <w:rsid w:val="002B09CC"/>
    <w:rsid w:val="002B0DB2"/>
    <w:rsid w:val="002B0E54"/>
    <w:rsid w:val="002B0E5B"/>
    <w:rsid w:val="002B105C"/>
    <w:rsid w:val="002B128A"/>
    <w:rsid w:val="002B12EE"/>
    <w:rsid w:val="002B13C2"/>
    <w:rsid w:val="002B140E"/>
    <w:rsid w:val="002B157D"/>
    <w:rsid w:val="002B15EC"/>
    <w:rsid w:val="002B1847"/>
    <w:rsid w:val="002B1A8E"/>
    <w:rsid w:val="002B1F52"/>
    <w:rsid w:val="002B2030"/>
    <w:rsid w:val="002B2136"/>
    <w:rsid w:val="002B215D"/>
    <w:rsid w:val="002B2262"/>
    <w:rsid w:val="002B23DA"/>
    <w:rsid w:val="002B25C9"/>
    <w:rsid w:val="002B26C9"/>
    <w:rsid w:val="002B2915"/>
    <w:rsid w:val="002B2C88"/>
    <w:rsid w:val="002B2CEC"/>
    <w:rsid w:val="002B2FB0"/>
    <w:rsid w:val="002B3033"/>
    <w:rsid w:val="002B3445"/>
    <w:rsid w:val="002B3524"/>
    <w:rsid w:val="002B3807"/>
    <w:rsid w:val="002B38A2"/>
    <w:rsid w:val="002B39F5"/>
    <w:rsid w:val="002B3A34"/>
    <w:rsid w:val="002B3A58"/>
    <w:rsid w:val="002B3A66"/>
    <w:rsid w:val="002B3A68"/>
    <w:rsid w:val="002B3D04"/>
    <w:rsid w:val="002B4352"/>
    <w:rsid w:val="002B43F3"/>
    <w:rsid w:val="002B443C"/>
    <w:rsid w:val="002B46C2"/>
    <w:rsid w:val="002B46C7"/>
    <w:rsid w:val="002B49D0"/>
    <w:rsid w:val="002B4A26"/>
    <w:rsid w:val="002B4B31"/>
    <w:rsid w:val="002B4CCD"/>
    <w:rsid w:val="002B4DD8"/>
    <w:rsid w:val="002B551E"/>
    <w:rsid w:val="002B5940"/>
    <w:rsid w:val="002B6032"/>
    <w:rsid w:val="002B6062"/>
    <w:rsid w:val="002B608E"/>
    <w:rsid w:val="002B60B5"/>
    <w:rsid w:val="002B6166"/>
    <w:rsid w:val="002B616E"/>
    <w:rsid w:val="002B6185"/>
    <w:rsid w:val="002B61F9"/>
    <w:rsid w:val="002B63A0"/>
    <w:rsid w:val="002B64DB"/>
    <w:rsid w:val="002B66FB"/>
    <w:rsid w:val="002B6790"/>
    <w:rsid w:val="002B6B9A"/>
    <w:rsid w:val="002B6CB9"/>
    <w:rsid w:val="002B6EA7"/>
    <w:rsid w:val="002B7211"/>
    <w:rsid w:val="002B747B"/>
    <w:rsid w:val="002B7529"/>
    <w:rsid w:val="002B77DE"/>
    <w:rsid w:val="002B781C"/>
    <w:rsid w:val="002B7C9E"/>
    <w:rsid w:val="002B7DF9"/>
    <w:rsid w:val="002B7E9B"/>
    <w:rsid w:val="002B7EAA"/>
    <w:rsid w:val="002B7F31"/>
    <w:rsid w:val="002C01DB"/>
    <w:rsid w:val="002C02E5"/>
    <w:rsid w:val="002C0371"/>
    <w:rsid w:val="002C03AF"/>
    <w:rsid w:val="002C03F3"/>
    <w:rsid w:val="002C0481"/>
    <w:rsid w:val="002C0539"/>
    <w:rsid w:val="002C06CF"/>
    <w:rsid w:val="002C0D08"/>
    <w:rsid w:val="002C0D8D"/>
    <w:rsid w:val="002C1250"/>
    <w:rsid w:val="002C1337"/>
    <w:rsid w:val="002C13D1"/>
    <w:rsid w:val="002C1505"/>
    <w:rsid w:val="002C16D0"/>
    <w:rsid w:val="002C17A2"/>
    <w:rsid w:val="002C1831"/>
    <w:rsid w:val="002C194A"/>
    <w:rsid w:val="002C1ADA"/>
    <w:rsid w:val="002C1B8B"/>
    <w:rsid w:val="002C1E5D"/>
    <w:rsid w:val="002C1E92"/>
    <w:rsid w:val="002C1E97"/>
    <w:rsid w:val="002C1F92"/>
    <w:rsid w:val="002C2060"/>
    <w:rsid w:val="002C2076"/>
    <w:rsid w:val="002C2192"/>
    <w:rsid w:val="002C21F8"/>
    <w:rsid w:val="002C241A"/>
    <w:rsid w:val="002C2624"/>
    <w:rsid w:val="002C2641"/>
    <w:rsid w:val="002C28D7"/>
    <w:rsid w:val="002C2C32"/>
    <w:rsid w:val="002C2E57"/>
    <w:rsid w:val="002C2F23"/>
    <w:rsid w:val="002C313C"/>
    <w:rsid w:val="002C3590"/>
    <w:rsid w:val="002C378E"/>
    <w:rsid w:val="002C38E7"/>
    <w:rsid w:val="002C3944"/>
    <w:rsid w:val="002C3AEA"/>
    <w:rsid w:val="002C3B81"/>
    <w:rsid w:val="002C3B8B"/>
    <w:rsid w:val="002C3CF3"/>
    <w:rsid w:val="002C3F14"/>
    <w:rsid w:val="002C3F4F"/>
    <w:rsid w:val="002C42D9"/>
    <w:rsid w:val="002C434E"/>
    <w:rsid w:val="002C4558"/>
    <w:rsid w:val="002C4687"/>
    <w:rsid w:val="002C46B0"/>
    <w:rsid w:val="002C480C"/>
    <w:rsid w:val="002C497C"/>
    <w:rsid w:val="002C4A5E"/>
    <w:rsid w:val="002C4A75"/>
    <w:rsid w:val="002C4AF8"/>
    <w:rsid w:val="002C4B34"/>
    <w:rsid w:val="002C4F2A"/>
    <w:rsid w:val="002C5857"/>
    <w:rsid w:val="002C5A26"/>
    <w:rsid w:val="002C5AA9"/>
    <w:rsid w:val="002C5E1E"/>
    <w:rsid w:val="002C5EC6"/>
    <w:rsid w:val="002C5FF2"/>
    <w:rsid w:val="002C65D9"/>
    <w:rsid w:val="002C6760"/>
    <w:rsid w:val="002C6D85"/>
    <w:rsid w:val="002C6E2F"/>
    <w:rsid w:val="002C7211"/>
    <w:rsid w:val="002C7529"/>
    <w:rsid w:val="002C75C6"/>
    <w:rsid w:val="002C75E7"/>
    <w:rsid w:val="002C769F"/>
    <w:rsid w:val="002C7A2F"/>
    <w:rsid w:val="002C7F44"/>
    <w:rsid w:val="002D0301"/>
    <w:rsid w:val="002D032F"/>
    <w:rsid w:val="002D04E4"/>
    <w:rsid w:val="002D062D"/>
    <w:rsid w:val="002D0FC2"/>
    <w:rsid w:val="002D12CE"/>
    <w:rsid w:val="002D14EB"/>
    <w:rsid w:val="002D174D"/>
    <w:rsid w:val="002D18FB"/>
    <w:rsid w:val="002D1D09"/>
    <w:rsid w:val="002D1E8D"/>
    <w:rsid w:val="002D1FD1"/>
    <w:rsid w:val="002D2296"/>
    <w:rsid w:val="002D27D5"/>
    <w:rsid w:val="002D2809"/>
    <w:rsid w:val="002D282D"/>
    <w:rsid w:val="002D2848"/>
    <w:rsid w:val="002D2A32"/>
    <w:rsid w:val="002D2A4A"/>
    <w:rsid w:val="002D2D5B"/>
    <w:rsid w:val="002D2FCB"/>
    <w:rsid w:val="002D319F"/>
    <w:rsid w:val="002D3207"/>
    <w:rsid w:val="002D3298"/>
    <w:rsid w:val="002D32A0"/>
    <w:rsid w:val="002D32BF"/>
    <w:rsid w:val="002D35F0"/>
    <w:rsid w:val="002D37BF"/>
    <w:rsid w:val="002D38AD"/>
    <w:rsid w:val="002D3CC8"/>
    <w:rsid w:val="002D3CD7"/>
    <w:rsid w:val="002D3E0C"/>
    <w:rsid w:val="002D3F8E"/>
    <w:rsid w:val="002D3F9B"/>
    <w:rsid w:val="002D3FC4"/>
    <w:rsid w:val="002D409C"/>
    <w:rsid w:val="002D40BA"/>
    <w:rsid w:val="002D413B"/>
    <w:rsid w:val="002D4393"/>
    <w:rsid w:val="002D4527"/>
    <w:rsid w:val="002D4863"/>
    <w:rsid w:val="002D4912"/>
    <w:rsid w:val="002D4A31"/>
    <w:rsid w:val="002D4D0D"/>
    <w:rsid w:val="002D4D82"/>
    <w:rsid w:val="002D4D91"/>
    <w:rsid w:val="002D53C8"/>
    <w:rsid w:val="002D55E6"/>
    <w:rsid w:val="002D5704"/>
    <w:rsid w:val="002D5838"/>
    <w:rsid w:val="002D58A1"/>
    <w:rsid w:val="002D58C5"/>
    <w:rsid w:val="002D59F1"/>
    <w:rsid w:val="002D6654"/>
    <w:rsid w:val="002D66D3"/>
    <w:rsid w:val="002D7133"/>
    <w:rsid w:val="002D7265"/>
    <w:rsid w:val="002D7524"/>
    <w:rsid w:val="002D75B6"/>
    <w:rsid w:val="002D7C8A"/>
    <w:rsid w:val="002D7DE2"/>
    <w:rsid w:val="002D7EA3"/>
    <w:rsid w:val="002D7EEB"/>
    <w:rsid w:val="002E009D"/>
    <w:rsid w:val="002E00B4"/>
    <w:rsid w:val="002E01E2"/>
    <w:rsid w:val="002E046A"/>
    <w:rsid w:val="002E05C7"/>
    <w:rsid w:val="002E06AF"/>
    <w:rsid w:val="002E06C8"/>
    <w:rsid w:val="002E07BC"/>
    <w:rsid w:val="002E09EE"/>
    <w:rsid w:val="002E0A1A"/>
    <w:rsid w:val="002E0A55"/>
    <w:rsid w:val="002E0BB4"/>
    <w:rsid w:val="002E0E53"/>
    <w:rsid w:val="002E0EA8"/>
    <w:rsid w:val="002E10D6"/>
    <w:rsid w:val="002E10EC"/>
    <w:rsid w:val="002E1919"/>
    <w:rsid w:val="002E1B33"/>
    <w:rsid w:val="002E1BD9"/>
    <w:rsid w:val="002E1CA5"/>
    <w:rsid w:val="002E1DF6"/>
    <w:rsid w:val="002E1F0D"/>
    <w:rsid w:val="002E2232"/>
    <w:rsid w:val="002E2579"/>
    <w:rsid w:val="002E2885"/>
    <w:rsid w:val="002E297E"/>
    <w:rsid w:val="002E2AAA"/>
    <w:rsid w:val="002E2C8D"/>
    <w:rsid w:val="002E2FF7"/>
    <w:rsid w:val="002E305B"/>
    <w:rsid w:val="002E30BC"/>
    <w:rsid w:val="002E30FE"/>
    <w:rsid w:val="002E3124"/>
    <w:rsid w:val="002E3232"/>
    <w:rsid w:val="002E3254"/>
    <w:rsid w:val="002E3448"/>
    <w:rsid w:val="002E366C"/>
    <w:rsid w:val="002E368A"/>
    <w:rsid w:val="002E3BDC"/>
    <w:rsid w:val="002E3E23"/>
    <w:rsid w:val="002E3EB1"/>
    <w:rsid w:val="002E4083"/>
    <w:rsid w:val="002E41EA"/>
    <w:rsid w:val="002E429C"/>
    <w:rsid w:val="002E44EE"/>
    <w:rsid w:val="002E47C5"/>
    <w:rsid w:val="002E49B0"/>
    <w:rsid w:val="002E4A6E"/>
    <w:rsid w:val="002E4D8F"/>
    <w:rsid w:val="002E4E21"/>
    <w:rsid w:val="002E4E81"/>
    <w:rsid w:val="002E4EA8"/>
    <w:rsid w:val="002E4F4F"/>
    <w:rsid w:val="002E4FCA"/>
    <w:rsid w:val="002E5072"/>
    <w:rsid w:val="002E5113"/>
    <w:rsid w:val="002E518A"/>
    <w:rsid w:val="002E51A5"/>
    <w:rsid w:val="002E51B1"/>
    <w:rsid w:val="002E548D"/>
    <w:rsid w:val="002E55C5"/>
    <w:rsid w:val="002E5660"/>
    <w:rsid w:val="002E5849"/>
    <w:rsid w:val="002E5A05"/>
    <w:rsid w:val="002E5CFB"/>
    <w:rsid w:val="002E5F42"/>
    <w:rsid w:val="002E5FC7"/>
    <w:rsid w:val="002E6028"/>
    <w:rsid w:val="002E606C"/>
    <w:rsid w:val="002E60D8"/>
    <w:rsid w:val="002E6284"/>
    <w:rsid w:val="002E64A7"/>
    <w:rsid w:val="002E64DB"/>
    <w:rsid w:val="002E6704"/>
    <w:rsid w:val="002E672B"/>
    <w:rsid w:val="002E67B4"/>
    <w:rsid w:val="002E6ABF"/>
    <w:rsid w:val="002E6DCC"/>
    <w:rsid w:val="002E6E1E"/>
    <w:rsid w:val="002E6E7C"/>
    <w:rsid w:val="002E6FCE"/>
    <w:rsid w:val="002E75A6"/>
    <w:rsid w:val="002E7AB4"/>
    <w:rsid w:val="002E7B56"/>
    <w:rsid w:val="002E7B63"/>
    <w:rsid w:val="002E7BF1"/>
    <w:rsid w:val="002E7DAB"/>
    <w:rsid w:val="002E7EDD"/>
    <w:rsid w:val="002E7F7F"/>
    <w:rsid w:val="002E7FC5"/>
    <w:rsid w:val="002F07D8"/>
    <w:rsid w:val="002F09AA"/>
    <w:rsid w:val="002F0BF6"/>
    <w:rsid w:val="002F0D19"/>
    <w:rsid w:val="002F0E5C"/>
    <w:rsid w:val="002F0F0A"/>
    <w:rsid w:val="002F1105"/>
    <w:rsid w:val="002F181B"/>
    <w:rsid w:val="002F18E9"/>
    <w:rsid w:val="002F1949"/>
    <w:rsid w:val="002F1AB5"/>
    <w:rsid w:val="002F1B91"/>
    <w:rsid w:val="002F1D39"/>
    <w:rsid w:val="002F1D94"/>
    <w:rsid w:val="002F1FB3"/>
    <w:rsid w:val="002F260A"/>
    <w:rsid w:val="002F2666"/>
    <w:rsid w:val="002F2DF4"/>
    <w:rsid w:val="002F2EF3"/>
    <w:rsid w:val="002F2FC6"/>
    <w:rsid w:val="002F302E"/>
    <w:rsid w:val="002F3090"/>
    <w:rsid w:val="002F3576"/>
    <w:rsid w:val="002F35CB"/>
    <w:rsid w:val="002F36ED"/>
    <w:rsid w:val="002F37BA"/>
    <w:rsid w:val="002F37E5"/>
    <w:rsid w:val="002F386E"/>
    <w:rsid w:val="002F388B"/>
    <w:rsid w:val="002F3D4F"/>
    <w:rsid w:val="002F3DEA"/>
    <w:rsid w:val="002F3EF2"/>
    <w:rsid w:val="002F3F3C"/>
    <w:rsid w:val="002F3F83"/>
    <w:rsid w:val="002F4127"/>
    <w:rsid w:val="002F4424"/>
    <w:rsid w:val="002F44A1"/>
    <w:rsid w:val="002F45E7"/>
    <w:rsid w:val="002F47B9"/>
    <w:rsid w:val="002F47CA"/>
    <w:rsid w:val="002F4841"/>
    <w:rsid w:val="002F4A09"/>
    <w:rsid w:val="002F4B8B"/>
    <w:rsid w:val="002F4E89"/>
    <w:rsid w:val="002F501B"/>
    <w:rsid w:val="002F50A8"/>
    <w:rsid w:val="002F50DA"/>
    <w:rsid w:val="002F51F4"/>
    <w:rsid w:val="002F5309"/>
    <w:rsid w:val="002F56EE"/>
    <w:rsid w:val="002F57B3"/>
    <w:rsid w:val="002F581D"/>
    <w:rsid w:val="002F58CC"/>
    <w:rsid w:val="002F5915"/>
    <w:rsid w:val="002F5AFE"/>
    <w:rsid w:val="002F5C70"/>
    <w:rsid w:val="002F5F0B"/>
    <w:rsid w:val="002F63D9"/>
    <w:rsid w:val="002F64ED"/>
    <w:rsid w:val="002F6515"/>
    <w:rsid w:val="002F67C5"/>
    <w:rsid w:val="002F68CF"/>
    <w:rsid w:val="002F6968"/>
    <w:rsid w:val="002F6A01"/>
    <w:rsid w:val="002F6E4D"/>
    <w:rsid w:val="002F6F05"/>
    <w:rsid w:val="002F6F93"/>
    <w:rsid w:val="002F725B"/>
    <w:rsid w:val="002F72C0"/>
    <w:rsid w:val="002F7406"/>
    <w:rsid w:val="002F75B3"/>
    <w:rsid w:val="002F7656"/>
    <w:rsid w:val="002F7945"/>
    <w:rsid w:val="002F7998"/>
    <w:rsid w:val="002F79B3"/>
    <w:rsid w:val="002F7A47"/>
    <w:rsid w:val="002F7BEE"/>
    <w:rsid w:val="002F7D50"/>
    <w:rsid w:val="003003FD"/>
    <w:rsid w:val="0030042B"/>
    <w:rsid w:val="00300866"/>
    <w:rsid w:val="00300AC3"/>
    <w:rsid w:val="00300D2A"/>
    <w:rsid w:val="00300D4E"/>
    <w:rsid w:val="00300F57"/>
    <w:rsid w:val="00300F68"/>
    <w:rsid w:val="003018B6"/>
    <w:rsid w:val="00301909"/>
    <w:rsid w:val="003019B0"/>
    <w:rsid w:val="00301AF5"/>
    <w:rsid w:val="00301B9D"/>
    <w:rsid w:val="00301E33"/>
    <w:rsid w:val="00301EE7"/>
    <w:rsid w:val="00301F2C"/>
    <w:rsid w:val="003021C9"/>
    <w:rsid w:val="0030227D"/>
    <w:rsid w:val="003022C9"/>
    <w:rsid w:val="003024B7"/>
    <w:rsid w:val="003025F7"/>
    <w:rsid w:val="003027C6"/>
    <w:rsid w:val="0030282F"/>
    <w:rsid w:val="00302919"/>
    <w:rsid w:val="00302E33"/>
    <w:rsid w:val="00302F5B"/>
    <w:rsid w:val="00303044"/>
    <w:rsid w:val="00303092"/>
    <w:rsid w:val="00303257"/>
    <w:rsid w:val="00303515"/>
    <w:rsid w:val="00303528"/>
    <w:rsid w:val="00303951"/>
    <w:rsid w:val="00303CA4"/>
    <w:rsid w:val="00303DCC"/>
    <w:rsid w:val="00303F31"/>
    <w:rsid w:val="00303F3D"/>
    <w:rsid w:val="00303FE6"/>
    <w:rsid w:val="00304006"/>
    <w:rsid w:val="003040EF"/>
    <w:rsid w:val="00304388"/>
    <w:rsid w:val="0030444F"/>
    <w:rsid w:val="003044EE"/>
    <w:rsid w:val="0030462B"/>
    <w:rsid w:val="00304671"/>
    <w:rsid w:val="00304960"/>
    <w:rsid w:val="00304A7F"/>
    <w:rsid w:val="00304F0A"/>
    <w:rsid w:val="00304FE6"/>
    <w:rsid w:val="00305358"/>
    <w:rsid w:val="00305587"/>
    <w:rsid w:val="00305885"/>
    <w:rsid w:val="00305906"/>
    <w:rsid w:val="00305D2E"/>
    <w:rsid w:val="00306086"/>
    <w:rsid w:val="003067D1"/>
    <w:rsid w:val="00306ACB"/>
    <w:rsid w:val="00306D74"/>
    <w:rsid w:val="00306EAE"/>
    <w:rsid w:val="00306FB4"/>
    <w:rsid w:val="0030701A"/>
    <w:rsid w:val="003070A6"/>
    <w:rsid w:val="0030718F"/>
    <w:rsid w:val="003071A3"/>
    <w:rsid w:val="00307364"/>
    <w:rsid w:val="003073C4"/>
    <w:rsid w:val="00307441"/>
    <w:rsid w:val="00307705"/>
    <w:rsid w:val="003079F4"/>
    <w:rsid w:val="00307A07"/>
    <w:rsid w:val="00307AFA"/>
    <w:rsid w:val="00307BFD"/>
    <w:rsid w:val="00307DF0"/>
    <w:rsid w:val="00307ED0"/>
    <w:rsid w:val="003105D1"/>
    <w:rsid w:val="003105D3"/>
    <w:rsid w:val="003106A5"/>
    <w:rsid w:val="00310AB2"/>
    <w:rsid w:val="00310AD8"/>
    <w:rsid w:val="00310C09"/>
    <w:rsid w:val="00310CAA"/>
    <w:rsid w:val="00310E6F"/>
    <w:rsid w:val="00310F93"/>
    <w:rsid w:val="00311010"/>
    <w:rsid w:val="0031101E"/>
    <w:rsid w:val="003116E2"/>
    <w:rsid w:val="00311808"/>
    <w:rsid w:val="00311B96"/>
    <w:rsid w:val="00312078"/>
    <w:rsid w:val="00312142"/>
    <w:rsid w:val="00312346"/>
    <w:rsid w:val="00312660"/>
    <w:rsid w:val="00312B28"/>
    <w:rsid w:val="00312CA4"/>
    <w:rsid w:val="00312E38"/>
    <w:rsid w:val="00312E75"/>
    <w:rsid w:val="0031316C"/>
    <w:rsid w:val="0031320C"/>
    <w:rsid w:val="00313211"/>
    <w:rsid w:val="00313219"/>
    <w:rsid w:val="003133B5"/>
    <w:rsid w:val="003138AA"/>
    <w:rsid w:val="00313E5B"/>
    <w:rsid w:val="00313E5D"/>
    <w:rsid w:val="00314180"/>
    <w:rsid w:val="003141EF"/>
    <w:rsid w:val="00314211"/>
    <w:rsid w:val="00314242"/>
    <w:rsid w:val="003143B0"/>
    <w:rsid w:val="0031448C"/>
    <w:rsid w:val="0031468F"/>
    <w:rsid w:val="003146C9"/>
    <w:rsid w:val="003147A8"/>
    <w:rsid w:val="00314C77"/>
    <w:rsid w:val="003151B8"/>
    <w:rsid w:val="00315649"/>
    <w:rsid w:val="00315755"/>
    <w:rsid w:val="00315788"/>
    <w:rsid w:val="0031582B"/>
    <w:rsid w:val="00315A2E"/>
    <w:rsid w:val="00315F2C"/>
    <w:rsid w:val="00315FAC"/>
    <w:rsid w:val="0031600A"/>
    <w:rsid w:val="0031601D"/>
    <w:rsid w:val="003160FB"/>
    <w:rsid w:val="0031650C"/>
    <w:rsid w:val="00316692"/>
    <w:rsid w:val="003167EA"/>
    <w:rsid w:val="00316998"/>
    <w:rsid w:val="00316A07"/>
    <w:rsid w:val="00316B72"/>
    <w:rsid w:val="00316D4A"/>
    <w:rsid w:val="00316D65"/>
    <w:rsid w:val="00316FA3"/>
    <w:rsid w:val="003172E5"/>
    <w:rsid w:val="00317339"/>
    <w:rsid w:val="0031742B"/>
    <w:rsid w:val="00317493"/>
    <w:rsid w:val="003176CC"/>
    <w:rsid w:val="003177DD"/>
    <w:rsid w:val="003178CA"/>
    <w:rsid w:val="00317900"/>
    <w:rsid w:val="00317AC6"/>
    <w:rsid w:val="00317E2C"/>
    <w:rsid w:val="0032017A"/>
    <w:rsid w:val="00320311"/>
    <w:rsid w:val="0032050C"/>
    <w:rsid w:val="00320662"/>
    <w:rsid w:val="00320675"/>
    <w:rsid w:val="0032074E"/>
    <w:rsid w:val="003207AE"/>
    <w:rsid w:val="00320AEB"/>
    <w:rsid w:val="00320B26"/>
    <w:rsid w:val="00320B9B"/>
    <w:rsid w:val="00320C20"/>
    <w:rsid w:val="00320E8A"/>
    <w:rsid w:val="0032137E"/>
    <w:rsid w:val="003213FF"/>
    <w:rsid w:val="003216B4"/>
    <w:rsid w:val="003219EE"/>
    <w:rsid w:val="00321AA2"/>
    <w:rsid w:val="00321B28"/>
    <w:rsid w:val="00321B5D"/>
    <w:rsid w:val="00321D16"/>
    <w:rsid w:val="00321D67"/>
    <w:rsid w:val="00321FE0"/>
    <w:rsid w:val="00322057"/>
    <w:rsid w:val="0032276B"/>
    <w:rsid w:val="00322A5E"/>
    <w:rsid w:val="00322ABD"/>
    <w:rsid w:val="00322C7B"/>
    <w:rsid w:val="00322F4F"/>
    <w:rsid w:val="00322F59"/>
    <w:rsid w:val="00323118"/>
    <w:rsid w:val="00323243"/>
    <w:rsid w:val="003233D4"/>
    <w:rsid w:val="0032345B"/>
    <w:rsid w:val="00323635"/>
    <w:rsid w:val="003237BB"/>
    <w:rsid w:val="003238DD"/>
    <w:rsid w:val="0032392C"/>
    <w:rsid w:val="0032392F"/>
    <w:rsid w:val="00323B86"/>
    <w:rsid w:val="00323ECB"/>
    <w:rsid w:val="003241DA"/>
    <w:rsid w:val="003243A4"/>
    <w:rsid w:val="003246BC"/>
    <w:rsid w:val="00324736"/>
    <w:rsid w:val="0032479F"/>
    <w:rsid w:val="00324A6F"/>
    <w:rsid w:val="00324BF4"/>
    <w:rsid w:val="00324BF7"/>
    <w:rsid w:val="00324CD0"/>
    <w:rsid w:val="00324E21"/>
    <w:rsid w:val="00325273"/>
    <w:rsid w:val="003252C9"/>
    <w:rsid w:val="00325475"/>
    <w:rsid w:val="003254E7"/>
    <w:rsid w:val="0032555B"/>
    <w:rsid w:val="003256B8"/>
    <w:rsid w:val="00325958"/>
    <w:rsid w:val="00325E2E"/>
    <w:rsid w:val="0032608B"/>
    <w:rsid w:val="003260CD"/>
    <w:rsid w:val="003260E4"/>
    <w:rsid w:val="00326117"/>
    <w:rsid w:val="003262A8"/>
    <w:rsid w:val="0032644A"/>
    <w:rsid w:val="003264B2"/>
    <w:rsid w:val="0032655E"/>
    <w:rsid w:val="0032665F"/>
    <w:rsid w:val="003266D9"/>
    <w:rsid w:val="00326707"/>
    <w:rsid w:val="00326840"/>
    <w:rsid w:val="00326BD5"/>
    <w:rsid w:val="00326D72"/>
    <w:rsid w:val="00326DCB"/>
    <w:rsid w:val="00326F24"/>
    <w:rsid w:val="00326FFF"/>
    <w:rsid w:val="00327030"/>
    <w:rsid w:val="003273A1"/>
    <w:rsid w:val="003277D1"/>
    <w:rsid w:val="00327834"/>
    <w:rsid w:val="003278FE"/>
    <w:rsid w:val="00327A22"/>
    <w:rsid w:val="00327A5B"/>
    <w:rsid w:val="00327A85"/>
    <w:rsid w:val="00327CEC"/>
    <w:rsid w:val="00327CFF"/>
    <w:rsid w:val="00327F45"/>
    <w:rsid w:val="00327FE4"/>
    <w:rsid w:val="00330091"/>
    <w:rsid w:val="00330400"/>
    <w:rsid w:val="00330454"/>
    <w:rsid w:val="003304D1"/>
    <w:rsid w:val="0033064E"/>
    <w:rsid w:val="00330664"/>
    <w:rsid w:val="00330874"/>
    <w:rsid w:val="00330B32"/>
    <w:rsid w:val="00330CBD"/>
    <w:rsid w:val="00330E79"/>
    <w:rsid w:val="00330F8B"/>
    <w:rsid w:val="00330FAC"/>
    <w:rsid w:val="00331213"/>
    <w:rsid w:val="003313B5"/>
    <w:rsid w:val="00331401"/>
    <w:rsid w:val="003314B6"/>
    <w:rsid w:val="00331694"/>
    <w:rsid w:val="00331A37"/>
    <w:rsid w:val="00331AF1"/>
    <w:rsid w:val="00331B36"/>
    <w:rsid w:val="00331D42"/>
    <w:rsid w:val="00331D4E"/>
    <w:rsid w:val="00332010"/>
    <w:rsid w:val="00332027"/>
    <w:rsid w:val="00332171"/>
    <w:rsid w:val="00332242"/>
    <w:rsid w:val="00332269"/>
    <w:rsid w:val="003322C7"/>
    <w:rsid w:val="00332349"/>
    <w:rsid w:val="00332354"/>
    <w:rsid w:val="003323D8"/>
    <w:rsid w:val="003324B0"/>
    <w:rsid w:val="00332516"/>
    <w:rsid w:val="0033255D"/>
    <w:rsid w:val="003326BD"/>
    <w:rsid w:val="00332717"/>
    <w:rsid w:val="00332D5C"/>
    <w:rsid w:val="00332DAD"/>
    <w:rsid w:val="00332EA8"/>
    <w:rsid w:val="00332EAA"/>
    <w:rsid w:val="00332F3B"/>
    <w:rsid w:val="00332FA6"/>
    <w:rsid w:val="003331A9"/>
    <w:rsid w:val="003331C8"/>
    <w:rsid w:val="003331F6"/>
    <w:rsid w:val="00333222"/>
    <w:rsid w:val="00333436"/>
    <w:rsid w:val="003336D5"/>
    <w:rsid w:val="00333A3C"/>
    <w:rsid w:val="00333C34"/>
    <w:rsid w:val="00333D96"/>
    <w:rsid w:val="00334849"/>
    <w:rsid w:val="00334895"/>
    <w:rsid w:val="00334ACC"/>
    <w:rsid w:val="00334AE6"/>
    <w:rsid w:val="00334F8A"/>
    <w:rsid w:val="003350D3"/>
    <w:rsid w:val="003350DF"/>
    <w:rsid w:val="00335275"/>
    <w:rsid w:val="003352FB"/>
    <w:rsid w:val="003355F0"/>
    <w:rsid w:val="0033566B"/>
    <w:rsid w:val="003357F2"/>
    <w:rsid w:val="0033582F"/>
    <w:rsid w:val="00335854"/>
    <w:rsid w:val="00335879"/>
    <w:rsid w:val="003358F7"/>
    <w:rsid w:val="00335B2F"/>
    <w:rsid w:val="00335BA2"/>
    <w:rsid w:val="00335E6B"/>
    <w:rsid w:val="00335FD8"/>
    <w:rsid w:val="003361C9"/>
    <w:rsid w:val="00336215"/>
    <w:rsid w:val="003362CB"/>
    <w:rsid w:val="00336326"/>
    <w:rsid w:val="003368C0"/>
    <w:rsid w:val="003368E2"/>
    <w:rsid w:val="003369F6"/>
    <w:rsid w:val="00336A8D"/>
    <w:rsid w:val="00336F8D"/>
    <w:rsid w:val="003371FB"/>
    <w:rsid w:val="00337307"/>
    <w:rsid w:val="00337554"/>
    <w:rsid w:val="0033772C"/>
    <w:rsid w:val="0033779B"/>
    <w:rsid w:val="00337A21"/>
    <w:rsid w:val="00337B69"/>
    <w:rsid w:val="00337CF5"/>
    <w:rsid w:val="0034006A"/>
    <w:rsid w:val="00340088"/>
    <w:rsid w:val="003400D4"/>
    <w:rsid w:val="00340152"/>
    <w:rsid w:val="003402FE"/>
    <w:rsid w:val="003403CC"/>
    <w:rsid w:val="00340449"/>
    <w:rsid w:val="0034049D"/>
    <w:rsid w:val="003405F9"/>
    <w:rsid w:val="00340888"/>
    <w:rsid w:val="00340912"/>
    <w:rsid w:val="003409CA"/>
    <w:rsid w:val="00340BC8"/>
    <w:rsid w:val="00340C2E"/>
    <w:rsid w:val="00340D9C"/>
    <w:rsid w:val="00340E08"/>
    <w:rsid w:val="0034120E"/>
    <w:rsid w:val="00341272"/>
    <w:rsid w:val="00341354"/>
    <w:rsid w:val="00341642"/>
    <w:rsid w:val="00341B27"/>
    <w:rsid w:val="00341C60"/>
    <w:rsid w:val="00341E11"/>
    <w:rsid w:val="00341F87"/>
    <w:rsid w:val="0034217C"/>
    <w:rsid w:val="003422A1"/>
    <w:rsid w:val="003422BB"/>
    <w:rsid w:val="00342624"/>
    <w:rsid w:val="003427C4"/>
    <w:rsid w:val="00342861"/>
    <w:rsid w:val="0034294A"/>
    <w:rsid w:val="00342B42"/>
    <w:rsid w:val="00342CD7"/>
    <w:rsid w:val="00342D81"/>
    <w:rsid w:val="00342D88"/>
    <w:rsid w:val="00342E16"/>
    <w:rsid w:val="0034317F"/>
    <w:rsid w:val="0034334B"/>
    <w:rsid w:val="0034337A"/>
    <w:rsid w:val="003439EB"/>
    <w:rsid w:val="00343A30"/>
    <w:rsid w:val="00343AB3"/>
    <w:rsid w:val="00343AE2"/>
    <w:rsid w:val="00343BA8"/>
    <w:rsid w:val="00343DDE"/>
    <w:rsid w:val="00344003"/>
    <w:rsid w:val="0034419D"/>
    <w:rsid w:val="00344318"/>
    <w:rsid w:val="0034449C"/>
    <w:rsid w:val="00344566"/>
    <w:rsid w:val="00344735"/>
    <w:rsid w:val="003447D6"/>
    <w:rsid w:val="0034496E"/>
    <w:rsid w:val="00344974"/>
    <w:rsid w:val="00344A95"/>
    <w:rsid w:val="00344B78"/>
    <w:rsid w:val="00344C68"/>
    <w:rsid w:val="00344C93"/>
    <w:rsid w:val="00344C94"/>
    <w:rsid w:val="00344CB6"/>
    <w:rsid w:val="00344D28"/>
    <w:rsid w:val="00344E44"/>
    <w:rsid w:val="00344ED0"/>
    <w:rsid w:val="00344F73"/>
    <w:rsid w:val="00345114"/>
    <w:rsid w:val="003453A1"/>
    <w:rsid w:val="003456B5"/>
    <w:rsid w:val="003458B7"/>
    <w:rsid w:val="003458C8"/>
    <w:rsid w:val="00345958"/>
    <w:rsid w:val="003459F0"/>
    <w:rsid w:val="00345F19"/>
    <w:rsid w:val="00346278"/>
    <w:rsid w:val="003462DB"/>
    <w:rsid w:val="003466E7"/>
    <w:rsid w:val="00346712"/>
    <w:rsid w:val="0034673E"/>
    <w:rsid w:val="00346790"/>
    <w:rsid w:val="003467E0"/>
    <w:rsid w:val="00346819"/>
    <w:rsid w:val="00346B58"/>
    <w:rsid w:val="00346DA8"/>
    <w:rsid w:val="00346F22"/>
    <w:rsid w:val="003471E7"/>
    <w:rsid w:val="00347350"/>
    <w:rsid w:val="00347462"/>
    <w:rsid w:val="003474A9"/>
    <w:rsid w:val="00347574"/>
    <w:rsid w:val="0034758C"/>
    <w:rsid w:val="003478DA"/>
    <w:rsid w:val="00347905"/>
    <w:rsid w:val="003479C5"/>
    <w:rsid w:val="00347D21"/>
    <w:rsid w:val="00347FEB"/>
    <w:rsid w:val="003501EB"/>
    <w:rsid w:val="00350273"/>
    <w:rsid w:val="0035046A"/>
    <w:rsid w:val="00350687"/>
    <w:rsid w:val="0035072A"/>
    <w:rsid w:val="00350BE9"/>
    <w:rsid w:val="00350D0F"/>
    <w:rsid w:val="00350DF6"/>
    <w:rsid w:val="00350E39"/>
    <w:rsid w:val="0035135F"/>
    <w:rsid w:val="003514F1"/>
    <w:rsid w:val="0035172F"/>
    <w:rsid w:val="0035191F"/>
    <w:rsid w:val="00351938"/>
    <w:rsid w:val="0035196F"/>
    <w:rsid w:val="003519E2"/>
    <w:rsid w:val="00351A87"/>
    <w:rsid w:val="00351B30"/>
    <w:rsid w:val="00351DA0"/>
    <w:rsid w:val="00351EBF"/>
    <w:rsid w:val="00352241"/>
    <w:rsid w:val="00352248"/>
    <w:rsid w:val="00352340"/>
    <w:rsid w:val="0035250C"/>
    <w:rsid w:val="0035253D"/>
    <w:rsid w:val="003527DD"/>
    <w:rsid w:val="003528EC"/>
    <w:rsid w:val="00352D73"/>
    <w:rsid w:val="00352FCE"/>
    <w:rsid w:val="00353026"/>
    <w:rsid w:val="00353096"/>
    <w:rsid w:val="003530E1"/>
    <w:rsid w:val="00353244"/>
    <w:rsid w:val="003532DD"/>
    <w:rsid w:val="003533FB"/>
    <w:rsid w:val="00353596"/>
    <w:rsid w:val="00353694"/>
    <w:rsid w:val="003538B1"/>
    <w:rsid w:val="003539C4"/>
    <w:rsid w:val="00353A0F"/>
    <w:rsid w:val="00353C2F"/>
    <w:rsid w:val="00353EA2"/>
    <w:rsid w:val="003540BA"/>
    <w:rsid w:val="003544C5"/>
    <w:rsid w:val="00354615"/>
    <w:rsid w:val="003548A1"/>
    <w:rsid w:val="00354A76"/>
    <w:rsid w:val="00354C73"/>
    <w:rsid w:val="00354F92"/>
    <w:rsid w:val="003550B7"/>
    <w:rsid w:val="00355253"/>
    <w:rsid w:val="0035565C"/>
    <w:rsid w:val="003558FE"/>
    <w:rsid w:val="0035598D"/>
    <w:rsid w:val="003559F8"/>
    <w:rsid w:val="00355A69"/>
    <w:rsid w:val="00355C63"/>
    <w:rsid w:val="00355D01"/>
    <w:rsid w:val="0035652D"/>
    <w:rsid w:val="003565EC"/>
    <w:rsid w:val="003567FA"/>
    <w:rsid w:val="00356890"/>
    <w:rsid w:val="00356960"/>
    <w:rsid w:val="003569AB"/>
    <w:rsid w:val="003569C6"/>
    <w:rsid w:val="00356AB1"/>
    <w:rsid w:val="00356ED5"/>
    <w:rsid w:val="00357067"/>
    <w:rsid w:val="003572E9"/>
    <w:rsid w:val="00357374"/>
    <w:rsid w:val="00357377"/>
    <w:rsid w:val="00357470"/>
    <w:rsid w:val="003575B1"/>
    <w:rsid w:val="0035788A"/>
    <w:rsid w:val="00357AE3"/>
    <w:rsid w:val="00357BE5"/>
    <w:rsid w:val="00357C46"/>
    <w:rsid w:val="00357D0A"/>
    <w:rsid w:val="003601EC"/>
    <w:rsid w:val="00360697"/>
    <w:rsid w:val="00360812"/>
    <w:rsid w:val="00360840"/>
    <w:rsid w:val="00360ADA"/>
    <w:rsid w:val="00360D67"/>
    <w:rsid w:val="00361077"/>
    <w:rsid w:val="00361314"/>
    <w:rsid w:val="003613CF"/>
    <w:rsid w:val="0036152B"/>
    <w:rsid w:val="003616A6"/>
    <w:rsid w:val="0036186F"/>
    <w:rsid w:val="003618BC"/>
    <w:rsid w:val="00361C61"/>
    <w:rsid w:val="00361C95"/>
    <w:rsid w:val="00361F44"/>
    <w:rsid w:val="003623A1"/>
    <w:rsid w:val="003626A7"/>
    <w:rsid w:val="00362A27"/>
    <w:rsid w:val="00362A9E"/>
    <w:rsid w:val="00362ACF"/>
    <w:rsid w:val="00362B4D"/>
    <w:rsid w:val="00362D14"/>
    <w:rsid w:val="00362DA1"/>
    <w:rsid w:val="003632D5"/>
    <w:rsid w:val="00363430"/>
    <w:rsid w:val="00363492"/>
    <w:rsid w:val="00363542"/>
    <w:rsid w:val="00363824"/>
    <w:rsid w:val="00363880"/>
    <w:rsid w:val="00363966"/>
    <w:rsid w:val="00363C8D"/>
    <w:rsid w:val="00363D80"/>
    <w:rsid w:val="00363DD6"/>
    <w:rsid w:val="00363F8E"/>
    <w:rsid w:val="00364040"/>
    <w:rsid w:val="0036441A"/>
    <w:rsid w:val="00364453"/>
    <w:rsid w:val="0036471F"/>
    <w:rsid w:val="0036484D"/>
    <w:rsid w:val="0036492B"/>
    <w:rsid w:val="00364931"/>
    <w:rsid w:val="00364CCA"/>
    <w:rsid w:val="00364CE7"/>
    <w:rsid w:val="00364E39"/>
    <w:rsid w:val="00364F0E"/>
    <w:rsid w:val="00364F87"/>
    <w:rsid w:val="0036512B"/>
    <w:rsid w:val="003653CF"/>
    <w:rsid w:val="003654FD"/>
    <w:rsid w:val="0036569D"/>
    <w:rsid w:val="00365781"/>
    <w:rsid w:val="003657AD"/>
    <w:rsid w:val="00365825"/>
    <w:rsid w:val="00365A89"/>
    <w:rsid w:val="00365B72"/>
    <w:rsid w:val="003660B9"/>
    <w:rsid w:val="0036623F"/>
    <w:rsid w:val="00366393"/>
    <w:rsid w:val="00366697"/>
    <w:rsid w:val="00366B86"/>
    <w:rsid w:val="00366C57"/>
    <w:rsid w:val="00366C7B"/>
    <w:rsid w:val="00367067"/>
    <w:rsid w:val="0036713F"/>
    <w:rsid w:val="0036714C"/>
    <w:rsid w:val="00367159"/>
    <w:rsid w:val="0036721B"/>
    <w:rsid w:val="003672ED"/>
    <w:rsid w:val="00367368"/>
    <w:rsid w:val="003676BE"/>
    <w:rsid w:val="0036791C"/>
    <w:rsid w:val="00367A74"/>
    <w:rsid w:val="00367B51"/>
    <w:rsid w:val="00367B6F"/>
    <w:rsid w:val="00367D02"/>
    <w:rsid w:val="00367D37"/>
    <w:rsid w:val="00367FB1"/>
    <w:rsid w:val="00370187"/>
    <w:rsid w:val="00370441"/>
    <w:rsid w:val="00370484"/>
    <w:rsid w:val="00370570"/>
    <w:rsid w:val="0037094B"/>
    <w:rsid w:val="003709F6"/>
    <w:rsid w:val="00370A02"/>
    <w:rsid w:val="00370B0E"/>
    <w:rsid w:val="00370CCD"/>
    <w:rsid w:val="00370E1A"/>
    <w:rsid w:val="00370F9C"/>
    <w:rsid w:val="0037102E"/>
    <w:rsid w:val="003711E1"/>
    <w:rsid w:val="003714B0"/>
    <w:rsid w:val="003714F9"/>
    <w:rsid w:val="0037157D"/>
    <w:rsid w:val="0037170B"/>
    <w:rsid w:val="003717DF"/>
    <w:rsid w:val="0037196F"/>
    <w:rsid w:val="00371BB7"/>
    <w:rsid w:val="00371C05"/>
    <w:rsid w:val="00371DA0"/>
    <w:rsid w:val="00371E7C"/>
    <w:rsid w:val="0037218C"/>
    <w:rsid w:val="003722EE"/>
    <w:rsid w:val="00372409"/>
    <w:rsid w:val="0037250D"/>
    <w:rsid w:val="0037252C"/>
    <w:rsid w:val="00372638"/>
    <w:rsid w:val="00372CF7"/>
    <w:rsid w:val="00372D59"/>
    <w:rsid w:val="003731E5"/>
    <w:rsid w:val="0037325E"/>
    <w:rsid w:val="00373318"/>
    <w:rsid w:val="003734AD"/>
    <w:rsid w:val="0037358C"/>
    <w:rsid w:val="0037377B"/>
    <w:rsid w:val="003739DD"/>
    <w:rsid w:val="00373B09"/>
    <w:rsid w:val="00373DE7"/>
    <w:rsid w:val="00373E1D"/>
    <w:rsid w:val="00374054"/>
    <w:rsid w:val="003740BF"/>
    <w:rsid w:val="0037459D"/>
    <w:rsid w:val="00374659"/>
    <w:rsid w:val="003746F5"/>
    <w:rsid w:val="00374A1C"/>
    <w:rsid w:val="00374AA2"/>
    <w:rsid w:val="00374AE3"/>
    <w:rsid w:val="00374B14"/>
    <w:rsid w:val="00374C87"/>
    <w:rsid w:val="00374D88"/>
    <w:rsid w:val="00374F70"/>
    <w:rsid w:val="003750B9"/>
    <w:rsid w:val="003751D7"/>
    <w:rsid w:val="00375977"/>
    <w:rsid w:val="00375A50"/>
    <w:rsid w:val="00375A64"/>
    <w:rsid w:val="00375B6B"/>
    <w:rsid w:val="00375E9F"/>
    <w:rsid w:val="00376626"/>
    <w:rsid w:val="003768E5"/>
    <w:rsid w:val="0037695B"/>
    <w:rsid w:val="00376CB5"/>
    <w:rsid w:val="00376E27"/>
    <w:rsid w:val="00376E44"/>
    <w:rsid w:val="00376EA1"/>
    <w:rsid w:val="00376F1B"/>
    <w:rsid w:val="00376F4F"/>
    <w:rsid w:val="00376FBB"/>
    <w:rsid w:val="0037714D"/>
    <w:rsid w:val="003771A3"/>
    <w:rsid w:val="00377216"/>
    <w:rsid w:val="00377429"/>
    <w:rsid w:val="003774F8"/>
    <w:rsid w:val="003775C7"/>
    <w:rsid w:val="003776FA"/>
    <w:rsid w:val="003777E6"/>
    <w:rsid w:val="00377A23"/>
    <w:rsid w:val="00377A56"/>
    <w:rsid w:val="00377A73"/>
    <w:rsid w:val="00377BD6"/>
    <w:rsid w:val="00377C67"/>
    <w:rsid w:val="00377DD6"/>
    <w:rsid w:val="00377DDA"/>
    <w:rsid w:val="00377E56"/>
    <w:rsid w:val="00380037"/>
    <w:rsid w:val="003800A2"/>
    <w:rsid w:val="003800BA"/>
    <w:rsid w:val="0038029C"/>
    <w:rsid w:val="003804C5"/>
    <w:rsid w:val="003805DA"/>
    <w:rsid w:val="00380719"/>
    <w:rsid w:val="0038084C"/>
    <w:rsid w:val="00380E26"/>
    <w:rsid w:val="00380FA2"/>
    <w:rsid w:val="00380FAA"/>
    <w:rsid w:val="00380FBE"/>
    <w:rsid w:val="0038128A"/>
    <w:rsid w:val="003813F1"/>
    <w:rsid w:val="0038150E"/>
    <w:rsid w:val="0038172C"/>
    <w:rsid w:val="003818FA"/>
    <w:rsid w:val="00381967"/>
    <w:rsid w:val="00381C18"/>
    <w:rsid w:val="00381C4E"/>
    <w:rsid w:val="00382027"/>
    <w:rsid w:val="003820F8"/>
    <w:rsid w:val="003825E5"/>
    <w:rsid w:val="0038287E"/>
    <w:rsid w:val="00382952"/>
    <w:rsid w:val="00382AFB"/>
    <w:rsid w:val="00382B44"/>
    <w:rsid w:val="00382BCD"/>
    <w:rsid w:val="00382C6B"/>
    <w:rsid w:val="00382CAE"/>
    <w:rsid w:val="00383425"/>
    <w:rsid w:val="003836D6"/>
    <w:rsid w:val="00383828"/>
    <w:rsid w:val="00383E24"/>
    <w:rsid w:val="00383FA3"/>
    <w:rsid w:val="00384163"/>
    <w:rsid w:val="0038494C"/>
    <w:rsid w:val="00384C89"/>
    <w:rsid w:val="00384E15"/>
    <w:rsid w:val="00384FE3"/>
    <w:rsid w:val="00385497"/>
    <w:rsid w:val="0038592C"/>
    <w:rsid w:val="00385A14"/>
    <w:rsid w:val="00385A69"/>
    <w:rsid w:val="00385D55"/>
    <w:rsid w:val="00385F79"/>
    <w:rsid w:val="003861E2"/>
    <w:rsid w:val="0038629F"/>
    <w:rsid w:val="00386348"/>
    <w:rsid w:val="0038639D"/>
    <w:rsid w:val="003863DC"/>
    <w:rsid w:val="0038678D"/>
    <w:rsid w:val="003868C3"/>
    <w:rsid w:val="00386C65"/>
    <w:rsid w:val="00386EC4"/>
    <w:rsid w:val="00387195"/>
    <w:rsid w:val="003872F4"/>
    <w:rsid w:val="0038740E"/>
    <w:rsid w:val="0038751A"/>
    <w:rsid w:val="003878E1"/>
    <w:rsid w:val="003878E4"/>
    <w:rsid w:val="00387A2B"/>
    <w:rsid w:val="00387F53"/>
    <w:rsid w:val="00390097"/>
    <w:rsid w:val="00390380"/>
    <w:rsid w:val="0039049A"/>
    <w:rsid w:val="0039050D"/>
    <w:rsid w:val="003906D4"/>
    <w:rsid w:val="00390925"/>
    <w:rsid w:val="0039096B"/>
    <w:rsid w:val="00390A3A"/>
    <w:rsid w:val="00390C5F"/>
    <w:rsid w:val="00390DF2"/>
    <w:rsid w:val="00391175"/>
    <w:rsid w:val="003913F6"/>
    <w:rsid w:val="003918B1"/>
    <w:rsid w:val="003918B9"/>
    <w:rsid w:val="003919BC"/>
    <w:rsid w:val="003919D7"/>
    <w:rsid w:val="00391C12"/>
    <w:rsid w:val="00391D4F"/>
    <w:rsid w:val="00391DBF"/>
    <w:rsid w:val="00391E11"/>
    <w:rsid w:val="0039202A"/>
    <w:rsid w:val="003920DD"/>
    <w:rsid w:val="00392367"/>
    <w:rsid w:val="0039246E"/>
    <w:rsid w:val="00392520"/>
    <w:rsid w:val="00392696"/>
    <w:rsid w:val="00392780"/>
    <w:rsid w:val="003929D7"/>
    <w:rsid w:val="00392B4A"/>
    <w:rsid w:val="00392BF5"/>
    <w:rsid w:val="00392C4A"/>
    <w:rsid w:val="00392EB0"/>
    <w:rsid w:val="00392EC2"/>
    <w:rsid w:val="00392FBD"/>
    <w:rsid w:val="003932E5"/>
    <w:rsid w:val="003932EF"/>
    <w:rsid w:val="0039341B"/>
    <w:rsid w:val="003934FB"/>
    <w:rsid w:val="0039362A"/>
    <w:rsid w:val="00393822"/>
    <w:rsid w:val="003938E4"/>
    <w:rsid w:val="00393C1B"/>
    <w:rsid w:val="00393C21"/>
    <w:rsid w:val="00393CCF"/>
    <w:rsid w:val="00393D44"/>
    <w:rsid w:val="00393DCF"/>
    <w:rsid w:val="00393ED0"/>
    <w:rsid w:val="00393F97"/>
    <w:rsid w:val="003941BA"/>
    <w:rsid w:val="00394307"/>
    <w:rsid w:val="003943CA"/>
    <w:rsid w:val="00394AF3"/>
    <w:rsid w:val="00394F33"/>
    <w:rsid w:val="00395047"/>
    <w:rsid w:val="00395048"/>
    <w:rsid w:val="0039509B"/>
    <w:rsid w:val="003951BF"/>
    <w:rsid w:val="00395510"/>
    <w:rsid w:val="003955B7"/>
    <w:rsid w:val="003957C2"/>
    <w:rsid w:val="0039584F"/>
    <w:rsid w:val="003958D0"/>
    <w:rsid w:val="00395CA3"/>
    <w:rsid w:val="00395CB8"/>
    <w:rsid w:val="0039601E"/>
    <w:rsid w:val="003962E4"/>
    <w:rsid w:val="00396380"/>
    <w:rsid w:val="003964A1"/>
    <w:rsid w:val="003965B3"/>
    <w:rsid w:val="00396610"/>
    <w:rsid w:val="003966E1"/>
    <w:rsid w:val="003968FB"/>
    <w:rsid w:val="003969D3"/>
    <w:rsid w:val="00396AD7"/>
    <w:rsid w:val="00396B79"/>
    <w:rsid w:val="00396CB2"/>
    <w:rsid w:val="00396E2B"/>
    <w:rsid w:val="00397101"/>
    <w:rsid w:val="003973E3"/>
    <w:rsid w:val="003973EB"/>
    <w:rsid w:val="003974BA"/>
    <w:rsid w:val="00397848"/>
    <w:rsid w:val="003979A7"/>
    <w:rsid w:val="00397C85"/>
    <w:rsid w:val="00397C98"/>
    <w:rsid w:val="00397CDB"/>
    <w:rsid w:val="00397E44"/>
    <w:rsid w:val="00397F67"/>
    <w:rsid w:val="003A0163"/>
    <w:rsid w:val="003A02D2"/>
    <w:rsid w:val="003A0398"/>
    <w:rsid w:val="003A04AD"/>
    <w:rsid w:val="003A079E"/>
    <w:rsid w:val="003A099A"/>
    <w:rsid w:val="003A0A22"/>
    <w:rsid w:val="003A0A4B"/>
    <w:rsid w:val="003A0C0F"/>
    <w:rsid w:val="003A0CF2"/>
    <w:rsid w:val="003A0D04"/>
    <w:rsid w:val="003A0D96"/>
    <w:rsid w:val="003A0E4D"/>
    <w:rsid w:val="003A10E7"/>
    <w:rsid w:val="003A10FC"/>
    <w:rsid w:val="003A1215"/>
    <w:rsid w:val="003A13A4"/>
    <w:rsid w:val="003A14D5"/>
    <w:rsid w:val="003A1C0A"/>
    <w:rsid w:val="003A1D5A"/>
    <w:rsid w:val="003A1D6D"/>
    <w:rsid w:val="003A1DFD"/>
    <w:rsid w:val="003A1E56"/>
    <w:rsid w:val="003A1F70"/>
    <w:rsid w:val="003A210D"/>
    <w:rsid w:val="003A21B6"/>
    <w:rsid w:val="003A21D5"/>
    <w:rsid w:val="003A247F"/>
    <w:rsid w:val="003A262D"/>
    <w:rsid w:val="003A2650"/>
    <w:rsid w:val="003A26F2"/>
    <w:rsid w:val="003A2715"/>
    <w:rsid w:val="003A29C6"/>
    <w:rsid w:val="003A2AA8"/>
    <w:rsid w:val="003A2C4F"/>
    <w:rsid w:val="003A2D72"/>
    <w:rsid w:val="003A2DB2"/>
    <w:rsid w:val="003A2DE0"/>
    <w:rsid w:val="003A2EBB"/>
    <w:rsid w:val="003A353A"/>
    <w:rsid w:val="003A3557"/>
    <w:rsid w:val="003A3582"/>
    <w:rsid w:val="003A366C"/>
    <w:rsid w:val="003A3896"/>
    <w:rsid w:val="003A3902"/>
    <w:rsid w:val="003A4034"/>
    <w:rsid w:val="003A40FF"/>
    <w:rsid w:val="003A426E"/>
    <w:rsid w:val="003A4393"/>
    <w:rsid w:val="003A454E"/>
    <w:rsid w:val="003A4707"/>
    <w:rsid w:val="003A4B05"/>
    <w:rsid w:val="003A4E85"/>
    <w:rsid w:val="003A50AC"/>
    <w:rsid w:val="003A50D6"/>
    <w:rsid w:val="003A5259"/>
    <w:rsid w:val="003A52BD"/>
    <w:rsid w:val="003A5325"/>
    <w:rsid w:val="003A54A9"/>
    <w:rsid w:val="003A55DE"/>
    <w:rsid w:val="003A55E2"/>
    <w:rsid w:val="003A567E"/>
    <w:rsid w:val="003A58AB"/>
    <w:rsid w:val="003A58C9"/>
    <w:rsid w:val="003A5933"/>
    <w:rsid w:val="003A5988"/>
    <w:rsid w:val="003A5AC1"/>
    <w:rsid w:val="003A5E4A"/>
    <w:rsid w:val="003A5F3C"/>
    <w:rsid w:val="003A5F71"/>
    <w:rsid w:val="003A610A"/>
    <w:rsid w:val="003A620B"/>
    <w:rsid w:val="003A624E"/>
    <w:rsid w:val="003A6256"/>
    <w:rsid w:val="003A63CD"/>
    <w:rsid w:val="003A65AB"/>
    <w:rsid w:val="003A675E"/>
    <w:rsid w:val="003A7001"/>
    <w:rsid w:val="003A738F"/>
    <w:rsid w:val="003A7850"/>
    <w:rsid w:val="003A7923"/>
    <w:rsid w:val="003A796D"/>
    <w:rsid w:val="003A79C1"/>
    <w:rsid w:val="003A7DE8"/>
    <w:rsid w:val="003B015E"/>
    <w:rsid w:val="003B01B1"/>
    <w:rsid w:val="003B043A"/>
    <w:rsid w:val="003B056F"/>
    <w:rsid w:val="003B0746"/>
    <w:rsid w:val="003B0887"/>
    <w:rsid w:val="003B0A11"/>
    <w:rsid w:val="003B0CEE"/>
    <w:rsid w:val="003B0E9D"/>
    <w:rsid w:val="003B0F8D"/>
    <w:rsid w:val="003B1089"/>
    <w:rsid w:val="003B15D4"/>
    <w:rsid w:val="003B17C5"/>
    <w:rsid w:val="003B1A0F"/>
    <w:rsid w:val="003B1A58"/>
    <w:rsid w:val="003B1ABA"/>
    <w:rsid w:val="003B1DC0"/>
    <w:rsid w:val="003B1F0B"/>
    <w:rsid w:val="003B212E"/>
    <w:rsid w:val="003B2138"/>
    <w:rsid w:val="003B2464"/>
    <w:rsid w:val="003B2C38"/>
    <w:rsid w:val="003B30B4"/>
    <w:rsid w:val="003B3120"/>
    <w:rsid w:val="003B3142"/>
    <w:rsid w:val="003B3321"/>
    <w:rsid w:val="003B35E7"/>
    <w:rsid w:val="003B393B"/>
    <w:rsid w:val="003B399C"/>
    <w:rsid w:val="003B39B2"/>
    <w:rsid w:val="003B39EE"/>
    <w:rsid w:val="003B3B0E"/>
    <w:rsid w:val="003B3BE1"/>
    <w:rsid w:val="003B3ECD"/>
    <w:rsid w:val="003B4129"/>
    <w:rsid w:val="003B4139"/>
    <w:rsid w:val="003B4300"/>
    <w:rsid w:val="003B4501"/>
    <w:rsid w:val="003B4D98"/>
    <w:rsid w:val="003B4F82"/>
    <w:rsid w:val="003B4FA8"/>
    <w:rsid w:val="003B51A1"/>
    <w:rsid w:val="003B51F8"/>
    <w:rsid w:val="003B55AF"/>
    <w:rsid w:val="003B5853"/>
    <w:rsid w:val="003B5A13"/>
    <w:rsid w:val="003B61CE"/>
    <w:rsid w:val="003B623C"/>
    <w:rsid w:val="003B6365"/>
    <w:rsid w:val="003B6494"/>
    <w:rsid w:val="003B6497"/>
    <w:rsid w:val="003B67B5"/>
    <w:rsid w:val="003B67F5"/>
    <w:rsid w:val="003B6846"/>
    <w:rsid w:val="003B6A04"/>
    <w:rsid w:val="003B6EE4"/>
    <w:rsid w:val="003B70A0"/>
    <w:rsid w:val="003B70F6"/>
    <w:rsid w:val="003B7481"/>
    <w:rsid w:val="003B74AA"/>
    <w:rsid w:val="003B7651"/>
    <w:rsid w:val="003B7FBC"/>
    <w:rsid w:val="003C0103"/>
    <w:rsid w:val="003C01AC"/>
    <w:rsid w:val="003C0442"/>
    <w:rsid w:val="003C0679"/>
    <w:rsid w:val="003C0B76"/>
    <w:rsid w:val="003C0D17"/>
    <w:rsid w:val="003C0D94"/>
    <w:rsid w:val="003C0DA5"/>
    <w:rsid w:val="003C11EF"/>
    <w:rsid w:val="003C177E"/>
    <w:rsid w:val="003C1C06"/>
    <w:rsid w:val="003C1C35"/>
    <w:rsid w:val="003C1C8D"/>
    <w:rsid w:val="003C1CF8"/>
    <w:rsid w:val="003C1DC9"/>
    <w:rsid w:val="003C1F2D"/>
    <w:rsid w:val="003C24D4"/>
    <w:rsid w:val="003C24F3"/>
    <w:rsid w:val="003C2508"/>
    <w:rsid w:val="003C26E5"/>
    <w:rsid w:val="003C2803"/>
    <w:rsid w:val="003C281F"/>
    <w:rsid w:val="003C288D"/>
    <w:rsid w:val="003C2A70"/>
    <w:rsid w:val="003C2A82"/>
    <w:rsid w:val="003C2ECE"/>
    <w:rsid w:val="003C2FBD"/>
    <w:rsid w:val="003C327D"/>
    <w:rsid w:val="003C34B2"/>
    <w:rsid w:val="003C3830"/>
    <w:rsid w:val="003C3A0B"/>
    <w:rsid w:val="003C3AFB"/>
    <w:rsid w:val="003C3CF6"/>
    <w:rsid w:val="003C3D13"/>
    <w:rsid w:val="003C3D5A"/>
    <w:rsid w:val="003C3E64"/>
    <w:rsid w:val="003C3FD3"/>
    <w:rsid w:val="003C4081"/>
    <w:rsid w:val="003C4114"/>
    <w:rsid w:val="003C41A3"/>
    <w:rsid w:val="003C4464"/>
    <w:rsid w:val="003C4B96"/>
    <w:rsid w:val="003C4BB8"/>
    <w:rsid w:val="003C4C8D"/>
    <w:rsid w:val="003C4FBC"/>
    <w:rsid w:val="003C545D"/>
    <w:rsid w:val="003C57EA"/>
    <w:rsid w:val="003C5800"/>
    <w:rsid w:val="003C58FA"/>
    <w:rsid w:val="003C5A31"/>
    <w:rsid w:val="003C5B4B"/>
    <w:rsid w:val="003C5C95"/>
    <w:rsid w:val="003C5FD8"/>
    <w:rsid w:val="003C616F"/>
    <w:rsid w:val="003C6637"/>
    <w:rsid w:val="003C6662"/>
    <w:rsid w:val="003C67D3"/>
    <w:rsid w:val="003C69A0"/>
    <w:rsid w:val="003C6AA1"/>
    <w:rsid w:val="003C6BFF"/>
    <w:rsid w:val="003C6F23"/>
    <w:rsid w:val="003C71DD"/>
    <w:rsid w:val="003C71FE"/>
    <w:rsid w:val="003C76FE"/>
    <w:rsid w:val="003C772B"/>
    <w:rsid w:val="003C7825"/>
    <w:rsid w:val="003C79CC"/>
    <w:rsid w:val="003C7DE5"/>
    <w:rsid w:val="003C7E42"/>
    <w:rsid w:val="003C7ED5"/>
    <w:rsid w:val="003D05BC"/>
    <w:rsid w:val="003D0663"/>
    <w:rsid w:val="003D083F"/>
    <w:rsid w:val="003D0A2C"/>
    <w:rsid w:val="003D0A76"/>
    <w:rsid w:val="003D0C21"/>
    <w:rsid w:val="003D0C43"/>
    <w:rsid w:val="003D0C61"/>
    <w:rsid w:val="003D0C91"/>
    <w:rsid w:val="003D0D50"/>
    <w:rsid w:val="003D0E0F"/>
    <w:rsid w:val="003D0F7A"/>
    <w:rsid w:val="003D110E"/>
    <w:rsid w:val="003D133C"/>
    <w:rsid w:val="003D135E"/>
    <w:rsid w:val="003D1734"/>
    <w:rsid w:val="003D1959"/>
    <w:rsid w:val="003D1A66"/>
    <w:rsid w:val="003D1D01"/>
    <w:rsid w:val="003D1E3E"/>
    <w:rsid w:val="003D1EF6"/>
    <w:rsid w:val="003D1EFA"/>
    <w:rsid w:val="003D2323"/>
    <w:rsid w:val="003D244F"/>
    <w:rsid w:val="003D27E2"/>
    <w:rsid w:val="003D2A2A"/>
    <w:rsid w:val="003D2B91"/>
    <w:rsid w:val="003D2D85"/>
    <w:rsid w:val="003D2ECA"/>
    <w:rsid w:val="003D2F7D"/>
    <w:rsid w:val="003D318B"/>
    <w:rsid w:val="003D3531"/>
    <w:rsid w:val="003D38DB"/>
    <w:rsid w:val="003D3913"/>
    <w:rsid w:val="003D3ACD"/>
    <w:rsid w:val="003D3B4D"/>
    <w:rsid w:val="003D3BE1"/>
    <w:rsid w:val="003D3D78"/>
    <w:rsid w:val="003D3ED6"/>
    <w:rsid w:val="003D3F67"/>
    <w:rsid w:val="003D41A5"/>
    <w:rsid w:val="003D4347"/>
    <w:rsid w:val="003D4390"/>
    <w:rsid w:val="003D45ED"/>
    <w:rsid w:val="003D4A6A"/>
    <w:rsid w:val="003D4CF3"/>
    <w:rsid w:val="003D4D05"/>
    <w:rsid w:val="003D5081"/>
    <w:rsid w:val="003D5098"/>
    <w:rsid w:val="003D51AF"/>
    <w:rsid w:val="003D5290"/>
    <w:rsid w:val="003D551D"/>
    <w:rsid w:val="003D56D5"/>
    <w:rsid w:val="003D56F1"/>
    <w:rsid w:val="003D571C"/>
    <w:rsid w:val="003D58E3"/>
    <w:rsid w:val="003D5AE5"/>
    <w:rsid w:val="003D5E5A"/>
    <w:rsid w:val="003D5ED2"/>
    <w:rsid w:val="003D5FD8"/>
    <w:rsid w:val="003D6175"/>
    <w:rsid w:val="003D620C"/>
    <w:rsid w:val="003D634D"/>
    <w:rsid w:val="003D6586"/>
    <w:rsid w:val="003D65B4"/>
    <w:rsid w:val="003D679D"/>
    <w:rsid w:val="003D6C31"/>
    <w:rsid w:val="003D6C7C"/>
    <w:rsid w:val="003D6D16"/>
    <w:rsid w:val="003D6E2E"/>
    <w:rsid w:val="003D6E5C"/>
    <w:rsid w:val="003D72E5"/>
    <w:rsid w:val="003D7478"/>
    <w:rsid w:val="003D754D"/>
    <w:rsid w:val="003D76A6"/>
    <w:rsid w:val="003D7800"/>
    <w:rsid w:val="003D7870"/>
    <w:rsid w:val="003D78B8"/>
    <w:rsid w:val="003D7AC5"/>
    <w:rsid w:val="003D7B70"/>
    <w:rsid w:val="003D7C11"/>
    <w:rsid w:val="003D7E87"/>
    <w:rsid w:val="003E0140"/>
    <w:rsid w:val="003E014A"/>
    <w:rsid w:val="003E040B"/>
    <w:rsid w:val="003E0BFD"/>
    <w:rsid w:val="003E0ED3"/>
    <w:rsid w:val="003E0F2D"/>
    <w:rsid w:val="003E1433"/>
    <w:rsid w:val="003E150A"/>
    <w:rsid w:val="003E16D0"/>
    <w:rsid w:val="003E186D"/>
    <w:rsid w:val="003E19BB"/>
    <w:rsid w:val="003E1A1F"/>
    <w:rsid w:val="003E1C6B"/>
    <w:rsid w:val="003E1CFC"/>
    <w:rsid w:val="003E1D32"/>
    <w:rsid w:val="003E1D9E"/>
    <w:rsid w:val="003E1E41"/>
    <w:rsid w:val="003E2380"/>
    <w:rsid w:val="003E24D1"/>
    <w:rsid w:val="003E262E"/>
    <w:rsid w:val="003E266D"/>
    <w:rsid w:val="003E3120"/>
    <w:rsid w:val="003E31F2"/>
    <w:rsid w:val="003E3842"/>
    <w:rsid w:val="003E3AEE"/>
    <w:rsid w:val="003E3C98"/>
    <w:rsid w:val="003E40DE"/>
    <w:rsid w:val="003E43D3"/>
    <w:rsid w:val="003E459D"/>
    <w:rsid w:val="003E46FF"/>
    <w:rsid w:val="003E47BF"/>
    <w:rsid w:val="003E488E"/>
    <w:rsid w:val="003E49C0"/>
    <w:rsid w:val="003E4C01"/>
    <w:rsid w:val="003E4C43"/>
    <w:rsid w:val="003E4DCB"/>
    <w:rsid w:val="003E4E28"/>
    <w:rsid w:val="003E53FE"/>
    <w:rsid w:val="003E55CC"/>
    <w:rsid w:val="003E584A"/>
    <w:rsid w:val="003E5B0E"/>
    <w:rsid w:val="003E5BAD"/>
    <w:rsid w:val="003E5CA2"/>
    <w:rsid w:val="003E5DE0"/>
    <w:rsid w:val="003E5EE9"/>
    <w:rsid w:val="003E5EEF"/>
    <w:rsid w:val="003E6090"/>
    <w:rsid w:val="003E609A"/>
    <w:rsid w:val="003E6178"/>
    <w:rsid w:val="003E6335"/>
    <w:rsid w:val="003E6455"/>
    <w:rsid w:val="003E64A9"/>
    <w:rsid w:val="003E64CE"/>
    <w:rsid w:val="003E6502"/>
    <w:rsid w:val="003E68A9"/>
    <w:rsid w:val="003E6A81"/>
    <w:rsid w:val="003E6CD4"/>
    <w:rsid w:val="003E6E46"/>
    <w:rsid w:val="003E6E4F"/>
    <w:rsid w:val="003E6E8D"/>
    <w:rsid w:val="003E6F6B"/>
    <w:rsid w:val="003E70D3"/>
    <w:rsid w:val="003E7268"/>
    <w:rsid w:val="003E7282"/>
    <w:rsid w:val="003E74A4"/>
    <w:rsid w:val="003E7691"/>
    <w:rsid w:val="003E770D"/>
    <w:rsid w:val="003E779F"/>
    <w:rsid w:val="003E77E9"/>
    <w:rsid w:val="003E7940"/>
    <w:rsid w:val="003E79BE"/>
    <w:rsid w:val="003E7C25"/>
    <w:rsid w:val="003E7CB5"/>
    <w:rsid w:val="003E7D95"/>
    <w:rsid w:val="003E7DE5"/>
    <w:rsid w:val="003E7E8C"/>
    <w:rsid w:val="003E7F34"/>
    <w:rsid w:val="003E7FE8"/>
    <w:rsid w:val="003F0269"/>
    <w:rsid w:val="003F026E"/>
    <w:rsid w:val="003F0432"/>
    <w:rsid w:val="003F0773"/>
    <w:rsid w:val="003F0992"/>
    <w:rsid w:val="003F0B50"/>
    <w:rsid w:val="003F0DCA"/>
    <w:rsid w:val="003F0E28"/>
    <w:rsid w:val="003F0FAF"/>
    <w:rsid w:val="003F1109"/>
    <w:rsid w:val="003F12B0"/>
    <w:rsid w:val="003F162E"/>
    <w:rsid w:val="003F1631"/>
    <w:rsid w:val="003F1658"/>
    <w:rsid w:val="003F1695"/>
    <w:rsid w:val="003F1781"/>
    <w:rsid w:val="003F1AB8"/>
    <w:rsid w:val="003F1AE5"/>
    <w:rsid w:val="003F1BEC"/>
    <w:rsid w:val="003F1D92"/>
    <w:rsid w:val="003F2056"/>
    <w:rsid w:val="003F215A"/>
    <w:rsid w:val="003F2378"/>
    <w:rsid w:val="003F2DB9"/>
    <w:rsid w:val="003F2E80"/>
    <w:rsid w:val="003F3213"/>
    <w:rsid w:val="003F3381"/>
    <w:rsid w:val="003F33DB"/>
    <w:rsid w:val="003F360E"/>
    <w:rsid w:val="003F38CB"/>
    <w:rsid w:val="003F391F"/>
    <w:rsid w:val="003F394C"/>
    <w:rsid w:val="003F3963"/>
    <w:rsid w:val="003F39A8"/>
    <w:rsid w:val="003F42BC"/>
    <w:rsid w:val="003F42CE"/>
    <w:rsid w:val="003F4352"/>
    <w:rsid w:val="003F4955"/>
    <w:rsid w:val="003F49C7"/>
    <w:rsid w:val="003F4A42"/>
    <w:rsid w:val="003F4AAA"/>
    <w:rsid w:val="003F4AFC"/>
    <w:rsid w:val="003F4BBF"/>
    <w:rsid w:val="003F4D96"/>
    <w:rsid w:val="003F50A0"/>
    <w:rsid w:val="003F5274"/>
    <w:rsid w:val="003F5278"/>
    <w:rsid w:val="003F54F3"/>
    <w:rsid w:val="003F552F"/>
    <w:rsid w:val="003F5589"/>
    <w:rsid w:val="003F599D"/>
    <w:rsid w:val="003F59B2"/>
    <w:rsid w:val="003F5CFA"/>
    <w:rsid w:val="003F5D3C"/>
    <w:rsid w:val="003F636B"/>
    <w:rsid w:val="003F636C"/>
    <w:rsid w:val="003F639C"/>
    <w:rsid w:val="003F6647"/>
    <w:rsid w:val="003F67AE"/>
    <w:rsid w:val="003F691E"/>
    <w:rsid w:val="003F69B7"/>
    <w:rsid w:val="003F6BDA"/>
    <w:rsid w:val="003F7009"/>
    <w:rsid w:val="003F718E"/>
    <w:rsid w:val="003F722E"/>
    <w:rsid w:val="003F765A"/>
    <w:rsid w:val="003F7799"/>
    <w:rsid w:val="003F7807"/>
    <w:rsid w:val="003F7CB7"/>
    <w:rsid w:val="003F7CBE"/>
    <w:rsid w:val="003F7E26"/>
    <w:rsid w:val="003F7E8B"/>
    <w:rsid w:val="003F7F0F"/>
    <w:rsid w:val="003F7F60"/>
    <w:rsid w:val="0040049D"/>
    <w:rsid w:val="004004DD"/>
    <w:rsid w:val="004005A1"/>
    <w:rsid w:val="00400749"/>
    <w:rsid w:val="004008E8"/>
    <w:rsid w:val="0040091E"/>
    <w:rsid w:val="00400986"/>
    <w:rsid w:val="004009DB"/>
    <w:rsid w:val="00400AAD"/>
    <w:rsid w:val="00400C03"/>
    <w:rsid w:val="00400DE3"/>
    <w:rsid w:val="00400E8E"/>
    <w:rsid w:val="00400EF8"/>
    <w:rsid w:val="00401301"/>
    <w:rsid w:val="004013C7"/>
    <w:rsid w:val="0040148D"/>
    <w:rsid w:val="004014BD"/>
    <w:rsid w:val="00401BD7"/>
    <w:rsid w:val="00402201"/>
    <w:rsid w:val="004024E2"/>
    <w:rsid w:val="004025BC"/>
    <w:rsid w:val="004026A5"/>
    <w:rsid w:val="004028B1"/>
    <w:rsid w:val="004029BC"/>
    <w:rsid w:val="00402DFE"/>
    <w:rsid w:val="00402F3A"/>
    <w:rsid w:val="004030EA"/>
    <w:rsid w:val="00403748"/>
    <w:rsid w:val="00403B89"/>
    <w:rsid w:val="00403C4F"/>
    <w:rsid w:val="00403CC0"/>
    <w:rsid w:val="00403DC8"/>
    <w:rsid w:val="00403DDA"/>
    <w:rsid w:val="004041EE"/>
    <w:rsid w:val="00404312"/>
    <w:rsid w:val="004043A8"/>
    <w:rsid w:val="004045A8"/>
    <w:rsid w:val="00404A6E"/>
    <w:rsid w:val="00404D59"/>
    <w:rsid w:val="00405139"/>
    <w:rsid w:val="004053D4"/>
    <w:rsid w:val="00405936"/>
    <w:rsid w:val="00405AE2"/>
    <w:rsid w:val="00405AF1"/>
    <w:rsid w:val="00405B1A"/>
    <w:rsid w:val="00405B34"/>
    <w:rsid w:val="00405C7C"/>
    <w:rsid w:val="00405E2D"/>
    <w:rsid w:val="00405F57"/>
    <w:rsid w:val="00406177"/>
    <w:rsid w:val="00406487"/>
    <w:rsid w:val="00406644"/>
    <w:rsid w:val="00406716"/>
    <w:rsid w:val="004067B6"/>
    <w:rsid w:val="00406BE3"/>
    <w:rsid w:val="00406D09"/>
    <w:rsid w:val="00406E36"/>
    <w:rsid w:val="00406FB3"/>
    <w:rsid w:val="00407017"/>
    <w:rsid w:val="004070F8"/>
    <w:rsid w:val="004071A7"/>
    <w:rsid w:val="004077FB"/>
    <w:rsid w:val="00407843"/>
    <w:rsid w:val="00407876"/>
    <w:rsid w:val="004078D1"/>
    <w:rsid w:val="00407B0B"/>
    <w:rsid w:val="00407D18"/>
    <w:rsid w:val="00407EDC"/>
    <w:rsid w:val="00407F04"/>
    <w:rsid w:val="004100FB"/>
    <w:rsid w:val="00410123"/>
    <w:rsid w:val="004102BD"/>
    <w:rsid w:val="00410449"/>
    <w:rsid w:val="00410550"/>
    <w:rsid w:val="0041078A"/>
    <w:rsid w:val="00410A2D"/>
    <w:rsid w:val="00410AC8"/>
    <w:rsid w:val="00410CDF"/>
    <w:rsid w:val="00410D37"/>
    <w:rsid w:val="00410EBB"/>
    <w:rsid w:val="00411101"/>
    <w:rsid w:val="004114CE"/>
    <w:rsid w:val="004115AE"/>
    <w:rsid w:val="00411AED"/>
    <w:rsid w:val="00411B60"/>
    <w:rsid w:val="00411BE6"/>
    <w:rsid w:val="00411F41"/>
    <w:rsid w:val="00412055"/>
    <w:rsid w:val="0041215E"/>
    <w:rsid w:val="00412258"/>
    <w:rsid w:val="0041233F"/>
    <w:rsid w:val="004123C5"/>
    <w:rsid w:val="004127E3"/>
    <w:rsid w:val="00412874"/>
    <w:rsid w:val="004128B1"/>
    <w:rsid w:val="004128FF"/>
    <w:rsid w:val="00412B03"/>
    <w:rsid w:val="00412C90"/>
    <w:rsid w:val="00412D0C"/>
    <w:rsid w:val="00412E45"/>
    <w:rsid w:val="00412FC1"/>
    <w:rsid w:val="00413055"/>
    <w:rsid w:val="004130D6"/>
    <w:rsid w:val="0041312E"/>
    <w:rsid w:val="004131AC"/>
    <w:rsid w:val="00413354"/>
    <w:rsid w:val="004133C4"/>
    <w:rsid w:val="004134EE"/>
    <w:rsid w:val="0041385C"/>
    <w:rsid w:val="00413C3F"/>
    <w:rsid w:val="00413F37"/>
    <w:rsid w:val="00414020"/>
    <w:rsid w:val="004142AF"/>
    <w:rsid w:val="0041470C"/>
    <w:rsid w:val="00414796"/>
    <w:rsid w:val="00414807"/>
    <w:rsid w:val="0041482D"/>
    <w:rsid w:val="00414D31"/>
    <w:rsid w:val="00415276"/>
    <w:rsid w:val="00415466"/>
    <w:rsid w:val="00415543"/>
    <w:rsid w:val="004155A8"/>
    <w:rsid w:val="0041583A"/>
    <w:rsid w:val="00415C0F"/>
    <w:rsid w:val="00415C43"/>
    <w:rsid w:val="00415D59"/>
    <w:rsid w:val="00416203"/>
    <w:rsid w:val="00416440"/>
    <w:rsid w:val="004165DC"/>
    <w:rsid w:val="004166D7"/>
    <w:rsid w:val="00416818"/>
    <w:rsid w:val="00416A1C"/>
    <w:rsid w:val="00416A90"/>
    <w:rsid w:val="00416D36"/>
    <w:rsid w:val="00416E28"/>
    <w:rsid w:val="00416FC2"/>
    <w:rsid w:val="00416FFB"/>
    <w:rsid w:val="00417151"/>
    <w:rsid w:val="004171E1"/>
    <w:rsid w:val="00417673"/>
    <w:rsid w:val="0041792D"/>
    <w:rsid w:val="00417CB2"/>
    <w:rsid w:val="00417DE6"/>
    <w:rsid w:val="00417EF1"/>
    <w:rsid w:val="00420457"/>
    <w:rsid w:val="004204B3"/>
    <w:rsid w:val="0042051E"/>
    <w:rsid w:val="004205CF"/>
    <w:rsid w:val="00420693"/>
    <w:rsid w:val="004207DA"/>
    <w:rsid w:val="004208D0"/>
    <w:rsid w:val="00420A1A"/>
    <w:rsid w:val="00420A7C"/>
    <w:rsid w:val="00420BAE"/>
    <w:rsid w:val="00420E1C"/>
    <w:rsid w:val="00420E2B"/>
    <w:rsid w:val="00420E33"/>
    <w:rsid w:val="00420EFF"/>
    <w:rsid w:val="00420FCB"/>
    <w:rsid w:val="00420FFA"/>
    <w:rsid w:val="0042127D"/>
    <w:rsid w:val="00421767"/>
    <w:rsid w:val="004218AF"/>
    <w:rsid w:val="00421CA3"/>
    <w:rsid w:val="00421D4B"/>
    <w:rsid w:val="00421E79"/>
    <w:rsid w:val="00421F57"/>
    <w:rsid w:val="00422230"/>
    <w:rsid w:val="0042286D"/>
    <w:rsid w:val="00422E1C"/>
    <w:rsid w:val="0042308F"/>
    <w:rsid w:val="0042311D"/>
    <w:rsid w:val="00423582"/>
    <w:rsid w:val="00423742"/>
    <w:rsid w:val="004237A3"/>
    <w:rsid w:val="00423C46"/>
    <w:rsid w:val="004240B5"/>
    <w:rsid w:val="0042415E"/>
    <w:rsid w:val="00424227"/>
    <w:rsid w:val="004242CC"/>
    <w:rsid w:val="004243E6"/>
    <w:rsid w:val="00424463"/>
    <w:rsid w:val="00424586"/>
    <w:rsid w:val="00424B71"/>
    <w:rsid w:val="00424DA8"/>
    <w:rsid w:val="0042505D"/>
    <w:rsid w:val="0042511A"/>
    <w:rsid w:val="004251A9"/>
    <w:rsid w:val="0042524F"/>
    <w:rsid w:val="0042556C"/>
    <w:rsid w:val="004255CD"/>
    <w:rsid w:val="00425642"/>
    <w:rsid w:val="00425954"/>
    <w:rsid w:val="00425AFB"/>
    <w:rsid w:val="004262FA"/>
    <w:rsid w:val="00426450"/>
    <w:rsid w:val="004264FE"/>
    <w:rsid w:val="004267A0"/>
    <w:rsid w:val="004267D7"/>
    <w:rsid w:val="00426A84"/>
    <w:rsid w:val="00426BE5"/>
    <w:rsid w:val="00426C96"/>
    <w:rsid w:val="00426E0A"/>
    <w:rsid w:val="00426FFE"/>
    <w:rsid w:val="0042718D"/>
    <w:rsid w:val="00427248"/>
    <w:rsid w:val="00427746"/>
    <w:rsid w:val="00427795"/>
    <w:rsid w:val="00427944"/>
    <w:rsid w:val="00427C06"/>
    <w:rsid w:val="00427CED"/>
    <w:rsid w:val="00427D00"/>
    <w:rsid w:val="00427E68"/>
    <w:rsid w:val="00430128"/>
    <w:rsid w:val="004302C6"/>
    <w:rsid w:val="00430366"/>
    <w:rsid w:val="004306D3"/>
    <w:rsid w:val="00430716"/>
    <w:rsid w:val="00430854"/>
    <w:rsid w:val="00430B2B"/>
    <w:rsid w:val="00430B90"/>
    <w:rsid w:val="00430E8E"/>
    <w:rsid w:val="00430FA3"/>
    <w:rsid w:val="00431065"/>
    <w:rsid w:val="00431085"/>
    <w:rsid w:val="00431129"/>
    <w:rsid w:val="00431199"/>
    <w:rsid w:val="004312B8"/>
    <w:rsid w:val="00431554"/>
    <w:rsid w:val="0043162E"/>
    <w:rsid w:val="00431684"/>
    <w:rsid w:val="00431739"/>
    <w:rsid w:val="00431775"/>
    <w:rsid w:val="00431B47"/>
    <w:rsid w:val="00431DA2"/>
    <w:rsid w:val="00431E31"/>
    <w:rsid w:val="00431FD3"/>
    <w:rsid w:val="004322B8"/>
    <w:rsid w:val="00432403"/>
    <w:rsid w:val="00432450"/>
    <w:rsid w:val="00432688"/>
    <w:rsid w:val="0043274A"/>
    <w:rsid w:val="004328C1"/>
    <w:rsid w:val="00432A63"/>
    <w:rsid w:val="00432B22"/>
    <w:rsid w:val="00432B52"/>
    <w:rsid w:val="00432BCC"/>
    <w:rsid w:val="00432C93"/>
    <w:rsid w:val="00432CD0"/>
    <w:rsid w:val="00432E36"/>
    <w:rsid w:val="00432EEF"/>
    <w:rsid w:val="00432EFA"/>
    <w:rsid w:val="00432F74"/>
    <w:rsid w:val="00433147"/>
    <w:rsid w:val="00433692"/>
    <w:rsid w:val="00433A28"/>
    <w:rsid w:val="00433B8C"/>
    <w:rsid w:val="00433FBE"/>
    <w:rsid w:val="0043403C"/>
    <w:rsid w:val="00434063"/>
    <w:rsid w:val="00434187"/>
    <w:rsid w:val="004343C2"/>
    <w:rsid w:val="004344CE"/>
    <w:rsid w:val="004345D4"/>
    <w:rsid w:val="00434784"/>
    <w:rsid w:val="00434977"/>
    <w:rsid w:val="00434AE4"/>
    <w:rsid w:val="00434B80"/>
    <w:rsid w:val="00434C34"/>
    <w:rsid w:val="00434EBB"/>
    <w:rsid w:val="00434F3B"/>
    <w:rsid w:val="0043506B"/>
    <w:rsid w:val="00435102"/>
    <w:rsid w:val="0043540A"/>
    <w:rsid w:val="004354F8"/>
    <w:rsid w:val="00435508"/>
    <w:rsid w:val="00435516"/>
    <w:rsid w:val="00435566"/>
    <w:rsid w:val="0043557B"/>
    <w:rsid w:val="004356C3"/>
    <w:rsid w:val="00435BBE"/>
    <w:rsid w:val="00435BE4"/>
    <w:rsid w:val="00435C75"/>
    <w:rsid w:val="00435D89"/>
    <w:rsid w:val="00435D8B"/>
    <w:rsid w:val="004366AB"/>
    <w:rsid w:val="0043672F"/>
    <w:rsid w:val="00436924"/>
    <w:rsid w:val="00436D49"/>
    <w:rsid w:val="00436E92"/>
    <w:rsid w:val="00436F56"/>
    <w:rsid w:val="00437047"/>
    <w:rsid w:val="004371BF"/>
    <w:rsid w:val="004371FF"/>
    <w:rsid w:val="0043724E"/>
    <w:rsid w:val="0043728C"/>
    <w:rsid w:val="0043737C"/>
    <w:rsid w:val="00437419"/>
    <w:rsid w:val="00437773"/>
    <w:rsid w:val="00437950"/>
    <w:rsid w:val="00437C45"/>
    <w:rsid w:val="00437F62"/>
    <w:rsid w:val="0044002A"/>
    <w:rsid w:val="00440252"/>
    <w:rsid w:val="0044029A"/>
    <w:rsid w:val="00440441"/>
    <w:rsid w:val="004405CA"/>
    <w:rsid w:val="00440615"/>
    <w:rsid w:val="004409DF"/>
    <w:rsid w:val="00440CE9"/>
    <w:rsid w:val="00440CED"/>
    <w:rsid w:val="00440DDC"/>
    <w:rsid w:val="00440ECC"/>
    <w:rsid w:val="004410BE"/>
    <w:rsid w:val="004415CA"/>
    <w:rsid w:val="0044181B"/>
    <w:rsid w:val="00441B2D"/>
    <w:rsid w:val="00441BFB"/>
    <w:rsid w:val="00441EFB"/>
    <w:rsid w:val="004421AD"/>
    <w:rsid w:val="004422C4"/>
    <w:rsid w:val="004422E8"/>
    <w:rsid w:val="004425B4"/>
    <w:rsid w:val="004427EC"/>
    <w:rsid w:val="00442A64"/>
    <w:rsid w:val="00442CB9"/>
    <w:rsid w:val="00442E5E"/>
    <w:rsid w:val="00442E87"/>
    <w:rsid w:val="00442ED2"/>
    <w:rsid w:val="00442FBB"/>
    <w:rsid w:val="0044326A"/>
    <w:rsid w:val="0044334F"/>
    <w:rsid w:val="0044338C"/>
    <w:rsid w:val="00443444"/>
    <w:rsid w:val="0044373B"/>
    <w:rsid w:val="00443A6D"/>
    <w:rsid w:val="00443AD0"/>
    <w:rsid w:val="00443B77"/>
    <w:rsid w:val="00443C2C"/>
    <w:rsid w:val="00443E45"/>
    <w:rsid w:val="00443F7E"/>
    <w:rsid w:val="00444002"/>
    <w:rsid w:val="0044408F"/>
    <w:rsid w:val="004440FA"/>
    <w:rsid w:val="0044416A"/>
    <w:rsid w:val="004446B5"/>
    <w:rsid w:val="00444863"/>
    <w:rsid w:val="00444A7A"/>
    <w:rsid w:val="00444B3F"/>
    <w:rsid w:val="00444D1C"/>
    <w:rsid w:val="00445427"/>
    <w:rsid w:val="004454A8"/>
    <w:rsid w:val="00445547"/>
    <w:rsid w:val="0044565F"/>
    <w:rsid w:val="00445766"/>
    <w:rsid w:val="0044596F"/>
    <w:rsid w:val="00445A00"/>
    <w:rsid w:val="00445A55"/>
    <w:rsid w:val="00445B25"/>
    <w:rsid w:val="00445BAE"/>
    <w:rsid w:val="00445C1B"/>
    <w:rsid w:val="00445D5C"/>
    <w:rsid w:val="00445D92"/>
    <w:rsid w:val="00445EF7"/>
    <w:rsid w:val="004461F0"/>
    <w:rsid w:val="00446269"/>
    <w:rsid w:val="004463B2"/>
    <w:rsid w:val="004464C8"/>
    <w:rsid w:val="004464DE"/>
    <w:rsid w:val="00446712"/>
    <w:rsid w:val="00446850"/>
    <w:rsid w:val="00446A42"/>
    <w:rsid w:val="00446B3C"/>
    <w:rsid w:val="00446C21"/>
    <w:rsid w:val="004470E7"/>
    <w:rsid w:val="004471D6"/>
    <w:rsid w:val="00447312"/>
    <w:rsid w:val="004473BA"/>
    <w:rsid w:val="004473D7"/>
    <w:rsid w:val="004475C2"/>
    <w:rsid w:val="0044764B"/>
    <w:rsid w:val="004478EF"/>
    <w:rsid w:val="00447E99"/>
    <w:rsid w:val="00447EC6"/>
    <w:rsid w:val="00450060"/>
    <w:rsid w:val="004501E5"/>
    <w:rsid w:val="00450217"/>
    <w:rsid w:val="00450440"/>
    <w:rsid w:val="00450451"/>
    <w:rsid w:val="0045048D"/>
    <w:rsid w:val="0045055B"/>
    <w:rsid w:val="0045063C"/>
    <w:rsid w:val="00450776"/>
    <w:rsid w:val="00450861"/>
    <w:rsid w:val="00450A55"/>
    <w:rsid w:val="00450A9D"/>
    <w:rsid w:val="0045120F"/>
    <w:rsid w:val="004512DF"/>
    <w:rsid w:val="0045137E"/>
    <w:rsid w:val="00451888"/>
    <w:rsid w:val="004518DA"/>
    <w:rsid w:val="00451BE6"/>
    <w:rsid w:val="00451C14"/>
    <w:rsid w:val="00451D67"/>
    <w:rsid w:val="00451FBF"/>
    <w:rsid w:val="0045202C"/>
    <w:rsid w:val="0045215E"/>
    <w:rsid w:val="0045261E"/>
    <w:rsid w:val="00452775"/>
    <w:rsid w:val="00452981"/>
    <w:rsid w:val="00452A44"/>
    <w:rsid w:val="0045309E"/>
    <w:rsid w:val="00453545"/>
    <w:rsid w:val="00453763"/>
    <w:rsid w:val="00453802"/>
    <w:rsid w:val="00453891"/>
    <w:rsid w:val="004538A2"/>
    <w:rsid w:val="0045396E"/>
    <w:rsid w:val="004539EE"/>
    <w:rsid w:val="00453A50"/>
    <w:rsid w:val="00453E30"/>
    <w:rsid w:val="00453FBE"/>
    <w:rsid w:val="00454122"/>
    <w:rsid w:val="00454334"/>
    <w:rsid w:val="0045444B"/>
    <w:rsid w:val="004545B2"/>
    <w:rsid w:val="00454975"/>
    <w:rsid w:val="00454C45"/>
    <w:rsid w:val="00454E7F"/>
    <w:rsid w:val="00455852"/>
    <w:rsid w:val="0045588F"/>
    <w:rsid w:val="004558C7"/>
    <w:rsid w:val="00455A46"/>
    <w:rsid w:val="00455B71"/>
    <w:rsid w:val="00455BE7"/>
    <w:rsid w:val="00455DD1"/>
    <w:rsid w:val="00456075"/>
    <w:rsid w:val="0045620C"/>
    <w:rsid w:val="00456263"/>
    <w:rsid w:val="004564D7"/>
    <w:rsid w:val="004564DF"/>
    <w:rsid w:val="00456612"/>
    <w:rsid w:val="00456624"/>
    <w:rsid w:val="00456897"/>
    <w:rsid w:val="004569C5"/>
    <w:rsid w:val="00456ADC"/>
    <w:rsid w:val="00456B8D"/>
    <w:rsid w:val="00456C65"/>
    <w:rsid w:val="00456F17"/>
    <w:rsid w:val="00456FF1"/>
    <w:rsid w:val="004571AF"/>
    <w:rsid w:val="0045721D"/>
    <w:rsid w:val="0045732B"/>
    <w:rsid w:val="00457350"/>
    <w:rsid w:val="00457600"/>
    <w:rsid w:val="0045779E"/>
    <w:rsid w:val="00457866"/>
    <w:rsid w:val="00457C6C"/>
    <w:rsid w:val="00457DB3"/>
    <w:rsid w:val="00457DD5"/>
    <w:rsid w:val="00457E70"/>
    <w:rsid w:val="00457E73"/>
    <w:rsid w:val="00457EE9"/>
    <w:rsid w:val="00460249"/>
    <w:rsid w:val="004602BF"/>
    <w:rsid w:val="00460308"/>
    <w:rsid w:val="00460465"/>
    <w:rsid w:val="0046082C"/>
    <w:rsid w:val="00460D64"/>
    <w:rsid w:val="00460F7B"/>
    <w:rsid w:val="00460F9B"/>
    <w:rsid w:val="00460FFA"/>
    <w:rsid w:val="004610C2"/>
    <w:rsid w:val="00461160"/>
    <w:rsid w:val="00461172"/>
    <w:rsid w:val="00461180"/>
    <w:rsid w:val="0046136A"/>
    <w:rsid w:val="00461576"/>
    <w:rsid w:val="004615F5"/>
    <w:rsid w:val="004617DF"/>
    <w:rsid w:val="004618AF"/>
    <w:rsid w:val="00461AD1"/>
    <w:rsid w:val="00461B3E"/>
    <w:rsid w:val="00461DA8"/>
    <w:rsid w:val="00461E22"/>
    <w:rsid w:val="004621AE"/>
    <w:rsid w:val="00462460"/>
    <w:rsid w:val="004626F1"/>
    <w:rsid w:val="00462D61"/>
    <w:rsid w:val="00462EDA"/>
    <w:rsid w:val="00462F43"/>
    <w:rsid w:val="004630C1"/>
    <w:rsid w:val="00463164"/>
    <w:rsid w:val="00463214"/>
    <w:rsid w:val="00463273"/>
    <w:rsid w:val="00463523"/>
    <w:rsid w:val="0046368E"/>
    <w:rsid w:val="00463979"/>
    <w:rsid w:val="00463BD4"/>
    <w:rsid w:val="00463CBE"/>
    <w:rsid w:val="00463E15"/>
    <w:rsid w:val="00463EA8"/>
    <w:rsid w:val="00463EBA"/>
    <w:rsid w:val="004640E7"/>
    <w:rsid w:val="004643E9"/>
    <w:rsid w:val="004645E4"/>
    <w:rsid w:val="0046461A"/>
    <w:rsid w:val="004646AA"/>
    <w:rsid w:val="00464AC4"/>
    <w:rsid w:val="00464BB4"/>
    <w:rsid w:val="00464D9E"/>
    <w:rsid w:val="00465521"/>
    <w:rsid w:val="004655C2"/>
    <w:rsid w:val="004659AB"/>
    <w:rsid w:val="00465C40"/>
    <w:rsid w:val="00465CA7"/>
    <w:rsid w:val="00465EEB"/>
    <w:rsid w:val="00465EF1"/>
    <w:rsid w:val="00465F5B"/>
    <w:rsid w:val="00465FE0"/>
    <w:rsid w:val="004660F2"/>
    <w:rsid w:val="004664CE"/>
    <w:rsid w:val="00466529"/>
    <w:rsid w:val="004665E0"/>
    <w:rsid w:val="00466600"/>
    <w:rsid w:val="0046665A"/>
    <w:rsid w:val="0046672E"/>
    <w:rsid w:val="00466733"/>
    <w:rsid w:val="00466C17"/>
    <w:rsid w:val="00466CA6"/>
    <w:rsid w:val="00466E53"/>
    <w:rsid w:val="00466E5B"/>
    <w:rsid w:val="00467006"/>
    <w:rsid w:val="00467246"/>
    <w:rsid w:val="004675A6"/>
    <w:rsid w:val="0046761C"/>
    <w:rsid w:val="00467954"/>
    <w:rsid w:val="00467A42"/>
    <w:rsid w:val="00467A72"/>
    <w:rsid w:val="00467BEA"/>
    <w:rsid w:val="00467D0F"/>
    <w:rsid w:val="00467DF0"/>
    <w:rsid w:val="00467FAA"/>
    <w:rsid w:val="00470082"/>
    <w:rsid w:val="0047039F"/>
    <w:rsid w:val="0047044C"/>
    <w:rsid w:val="00470677"/>
    <w:rsid w:val="00470706"/>
    <w:rsid w:val="00470871"/>
    <w:rsid w:val="00470AAA"/>
    <w:rsid w:val="00470AD1"/>
    <w:rsid w:val="00470B06"/>
    <w:rsid w:val="00470FC3"/>
    <w:rsid w:val="00470FD6"/>
    <w:rsid w:val="00471613"/>
    <w:rsid w:val="004716B4"/>
    <w:rsid w:val="00471703"/>
    <w:rsid w:val="004719A9"/>
    <w:rsid w:val="00471A98"/>
    <w:rsid w:val="00471B8A"/>
    <w:rsid w:val="00471D72"/>
    <w:rsid w:val="00471E85"/>
    <w:rsid w:val="0047202B"/>
    <w:rsid w:val="0047212D"/>
    <w:rsid w:val="00472174"/>
    <w:rsid w:val="0047217D"/>
    <w:rsid w:val="00472340"/>
    <w:rsid w:val="00472603"/>
    <w:rsid w:val="004726C1"/>
    <w:rsid w:val="00472702"/>
    <w:rsid w:val="00472B96"/>
    <w:rsid w:val="00472CB8"/>
    <w:rsid w:val="00472D8B"/>
    <w:rsid w:val="00472EFC"/>
    <w:rsid w:val="00472F1D"/>
    <w:rsid w:val="00473162"/>
    <w:rsid w:val="004731BC"/>
    <w:rsid w:val="0047338D"/>
    <w:rsid w:val="00473593"/>
    <w:rsid w:val="004735F5"/>
    <w:rsid w:val="0047366F"/>
    <w:rsid w:val="00473692"/>
    <w:rsid w:val="00473A53"/>
    <w:rsid w:val="00473CF2"/>
    <w:rsid w:val="00474002"/>
    <w:rsid w:val="00474302"/>
    <w:rsid w:val="0047434D"/>
    <w:rsid w:val="004743A4"/>
    <w:rsid w:val="00474458"/>
    <w:rsid w:val="00474512"/>
    <w:rsid w:val="0047465F"/>
    <w:rsid w:val="004748DA"/>
    <w:rsid w:val="00474A71"/>
    <w:rsid w:val="00474B9A"/>
    <w:rsid w:val="00474C5F"/>
    <w:rsid w:val="00474E94"/>
    <w:rsid w:val="00474E96"/>
    <w:rsid w:val="00474EA2"/>
    <w:rsid w:val="00475108"/>
    <w:rsid w:val="00475151"/>
    <w:rsid w:val="004751C2"/>
    <w:rsid w:val="00475279"/>
    <w:rsid w:val="00475396"/>
    <w:rsid w:val="00475443"/>
    <w:rsid w:val="0047570C"/>
    <w:rsid w:val="00475756"/>
    <w:rsid w:val="0047580C"/>
    <w:rsid w:val="0047595B"/>
    <w:rsid w:val="004759A4"/>
    <w:rsid w:val="00475BA4"/>
    <w:rsid w:val="00475BB3"/>
    <w:rsid w:val="00475BE7"/>
    <w:rsid w:val="00475D4B"/>
    <w:rsid w:val="00476086"/>
    <w:rsid w:val="004764E0"/>
    <w:rsid w:val="00476583"/>
    <w:rsid w:val="00476960"/>
    <w:rsid w:val="00476BEB"/>
    <w:rsid w:val="00476C2F"/>
    <w:rsid w:val="00476ED6"/>
    <w:rsid w:val="00476EFF"/>
    <w:rsid w:val="00476FA0"/>
    <w:rsid w:val="004771B5"/>
    <w:rsid w:val="0047739A"/>
    <w:rsid w:val="00477464"/>
    <w:rsid w:val="00477AC9"/>
    <w:rsid w:val="00477B3D"/>
    <w:rsid w:val="00477DDE"/>
    <w:rsid w:val="00477E59"/>
    <w:rsid w:val="00477EC6"/>
    <w:rsid w:val="00477FDE"/>
    <w:rsid w:val="0048007B"/>
    <w:rsid w:val="0048037C"/>
    <w:rsid w:val="0048050D"/>
    <w:rsid w:val="004805A6"/>
    <w:rsid w:val="00480792"/>
    <w:rsid w:val="004807BD"/>
    <w:rsid w:val="00480803"/>
    <w:rsid w:val="00480824"/>
    <w:rsid w:val="00480938"/>
    <w:rsid w:val="00480AF3"/>
    <w:rsid w:val="00480DC0"/>
    <w:rsid w:val="00480E6B"/>
    <w:rsid w:val="00480F0D"/>
    <w:rsid w:val="00480FAF"/>
    <w:rsid w:val="00480FFE"/>
    <w:rsid w:val="0048159A"/>
    <w:rsid w:val="004817B6"/>
    <w:rsid w:val="004817D2"/>
    <w:rsid w:val="00481AF7"/>
    <w:rsid w:val="00481EC6"/>
    <w:rsid w:val="00481EFE"/>
    <w:rsid w:val="0048207C"/>
    <w:rsid w:val="0048224E"/>
    <w:rsid w:val="004823A2"/>
    <w:rsid w:val="004825B4"/>
    <w:rsid w:val="00482676"/>
    <w:rsid w:val="004829BD"/>
    <w:rsid w:val="00482A98"/>
    <w:rsid w:val="00482D8E"/>
    <w:rsid w:val="00482DF5"/>
    <w:rsid w:val="00482E27"/>
    <w:rsid w:val="00482E5F"/>
    <w:rsid w:val="00482F4D"/>
    <w:rsid w:val="00482F5C"/>
    <w:rsid w:val="00483177"/>
    <w:rsid w:val="004831B7"/>
    <w:rsid w:val="00483AEE"/>
    <w:rsid w:val="00483B04"/>
    <w:rsid w:val="00483C83"/>
    <w:rsid w:val="00483EFE"/>
    <w:rsid w:val="00483F80"/>
    <w:rsid w:val="00483F93"/>
    <w:rsid w:val="00483F9B"/>
    <w:rsid w:val="00484026"/>
    <w:rsid w:val="00484065"/>
    <w:rsid w:val="0048423C"/>
    <w:rsid w:val="004843DA"/>
    <w:rsid w:val="004844FF"/>
    <w:rsid w:val="00484A38"/>
    <w:rsid w:val="00484AF5"/>
    <w:rsid w:val="00484C94"/>
    <w:rsid w:val="00484DBA"/>
    <w:rsid w:val="00484FD3"/>
    <w:rsid w:val="0048508C"/>
    <w:rsid w:val="0048511B"/>
    <w:rsid w:val="00485192"/>
    <w:rsid w:val="00485A23"/>
    <w:rsid w:val="00485B01"/>
    <w:rsid w:val="00485C50"/>
    <w:rsid w:val="00485CBD"/>
    <w:rsid w:val="00486008"/>
    <w:rsid w:val="00486011"/>
    <w:rsid w:val="004860A2"/>
    <w:rsid w:val="0048616F"/>
    <w:rsid w:val="004863B4"/>
    <w:rsid w:val="0048657D"/>
    <w:rsid w:val="0048661E"/>
    <w:rsid w:val="004867A3"/>
    <w:rsid w:val="00486CFE"/>
    <w:rsid w:val="00486D2F"/>
    <w:rsid w:val="00486EC3"/>
    <w:rsid w:val="00486FB2"/>
    <w:rsid w:val="00487006"/>
    <w:rsid w:val="00487409"/>
    <w:rsid w:val="0048751B"/>
    <w:rsid w:val="004875EB"/>
    <w:rsid w:val="00487691"/>
    <w:rsid w:val="0048771C"/>
    <w:rsid w:val="00487976"/>
    <w:rsid w:val="00487C9D"/>
    <w:rsid w:val="00487E6B"/>
    <w:rsid w:val="0049015E"/>
    <w:rsid w:val="00490486"/>
    <w:rsid w:val="004904AC"/>
    <w:rsid w:val="004905EB"/>
    <w:rsid w:val="00490951"/>
    <w:rsid w:val="0049099F"/>
    <w:rsid w:val="00490BB1"/>
    <w:rsid w:val="00491551"/>
    <w:rsid w:val="004915BD"/>
    <w:rsid w:val="00491769"/>
    <w:rsid w:val="004917D7"/>
    <w:rsid w:val="004918AB"/>
    <w:rsid w:val="00491A6C"/>
    <w:rsid w:val="00491B28"/>
    <w:rsid w:val="00491E46"/>
    <w:rsid w:val="00492216"/>
    <w:rsid w:val="0049239F"/>
    <w:rsid w:val="00492613"/>
    <w:rsid w:val="00492A0E"/>
    <w:rsid w:val="00492A5B"/>
    <w:rsid w:val="00492AB4"/>
    <w:rsid w:val="00492BE7"/>
    <w:rsid w:val="00492D69"/>
    <w:rsid w:val="00492EAF"/>
    <w:rsid w:val="0049305B"/>
    <w:rsid w:val="004931D5"/>
    <w:rsid w:val="0049354A"/>
    <w:rsid w:val="00493626"/>
    <w:rsid w:val="0049373A"/>
    <w:rsid w:val="0049390B"/>
    <w:rsid w:val="0049440D"/>
    <w:rsid w:val="00494683"/>
    <w:rsid w:val="00494857"/>
    <w:rsid w:val="00494A35"/>
    <w:rsid w:val="00494B27"/>
    <w:rsid w:val="00494DF5"/>
    <w:rsid w:val="00494E48"/>
    <w:rsid w:val="00494F4F"/>
    <w:rsid w:val="00494F54"/>
    <w:rsid w:val="00494F7D"/>
    <w:rsid w:val="00495307"/>
    <w:rsid w:val="00495417"/>
    <w:rsid w:val="0049558E"/>
    <w:rsid w:val="004955DA"/>
    <w:rsid w:val="00495729"/>
    <w:rsid w:val="00495A43"/>
    <w:rsid w:val="00495AD2"/>
    <w:rsid w:val="00495ADB"/>
    <w:rsid w:val="00495C48"/>
    <w:rsid w:val="00495D9A"/>
    <w:rsid w:val="00495DA4"/>
    <w:rsid w:val="00495EAF"/>
    <w:rsid w:val="00495EE1"/>
    <w:rsid w:val="00495FA7"/>
    <w:rsid w:val="004964E2"/>
    <w:rsid w:val="004968E1"/>
    <w:rsid w:val="0049698A"/>
    <w:rsid w:val="00496F0C"/>
    <w:rsid w:val="00496FAB"/>
    <w:rsid w:val="00496FB2"/>
    <w:rsid w:val="004970C3"/>
    <w:rsid w:val="00497405"/>
    <w:rsid w:val="00497737"/>
    <w:rsid w:val="00497A41"/>
    <w:rsid w:val="00497DF2"/>
    <w:rsid w:val="00497E57"/>
    <w:rsid w:val="00497F21"/>
    <w:rsid w:val="00497F29"/>
    <w:rsid w:val="004A01F4"/>
    <w:rsid w:val="004A03C3"/>
    <w:rsid w:val="004A04CD"/>
    <w:rsid w:val="004A0617"/>
    <w:rsid w:val="004A07EF"/>
    <w:rsid w:val="004A0850"/>
    <w:rsid w:val="004A098B"/>
    <w:rsid w:val="004A0C50"/>
    <w:rsid w:val="004A0C74"/>
    <w:rsid w:val="004A0F2B"/>
    <w:rsid w:val="004A0FE6"/>
    <w:rsid w:val="004A1789"/>
    <w:rsid w:val="004A17F0"/>
    <w:rsid w:val="004A180D"/>
    <w:rsid w:val="004A1905"/>
    <w:rsid w:val="004A1BB5"/>
    <w:rsid w:val="004A1C19"/>
    <w:rsid w:val="004A1DB2"/>
    <w:rsid w:val="004A1E1A"/>
    <w:rsid w:val="004A210C"/>
    <w:rsid w:val="004A24BF"/>
    <w:rsid w:val="004A2581"/>
    <w:rsid w:val="004A2663"/>
    <w:rsid w:val="004A2795"/>
    <w:rsid w:val="004A27AD"/>
    <w:rsid w:val="004A2BA7"/>
    <w:rsid w:val="004A2BE3"/>
    <w:rsid w:val="004A2BF7"/>
    <w:rsid w:val="004A2D12"/>
    <w:rsid w:val="004A316E"/>
    <w:rsid w:val="004A3497"/>
    <w:rsid w:val="004A35FA"/>
    <w:rsid w:val="004A37E8"/>
    <w:rsid w:val="004A3957"/>
    <w:rsid w:val="004A3CF2"/>
    <w:rsid w:val="004A3E56"/>
    <w:rsid w:val="004A3E8F"/>
    <w:rsid w:val="004A403B"/>
    <w:rsid w:val="004A42B0"/>
    <w:rsid w:val="004A430D"/>
    <w:rsid w:val="004A435C"/>
    <w:rsid w:val="004A443A"/>
    <w:rsid w:val="004A45E4"/>
    <w:rsid w:val="004A4DC0"/>
    <w:rsid w:val="004A5285"/>
    <w:rsid w:val="004A52E5"/>
    <w:rsid w:val="004A5B8B"/>
    <w:rsid w:val="004A5B8F"/>
    <w:rsid w:val="004A5DBA"/>
    <w:rsid w:val="004A5E50"/>
    <w:rsid w:val="004A5EEB"/>
    <w:rsid w:val="004A5FF3"/>
    <w:rsid w:val="004A6162"/>
    <w:rsid w:val="004A63C8"/>
    <w:rsid w:val="004A63D8"/>
    <w:rsid w:val="004A643F"/>
    <w:rsid w:val="004A65E9"/>
    <w:rsid w:val="004A6669"/>
    <w:rsid w:val="004A67AB"/>
    <w:rsid w:val="004A68CB"/>
    <w:rsid w:val="004A6C86"/>
    <w:rsid w:val="004A6D2F"/>
    <w:rsid w:val="004A6F35"/>
    <w:rsid w:val="004A7156"/>
    <w:rsid w:val="004A72B4"/>
    <w:rsid w:val="004A7693"/>
    <w:rsid w:val="004A7890"/>
    <w:rsid w:val="004A7BB9"/>
    <w:rsid w:val="004A7CC6"/>
    <w:rsid w:val="004A7D3B"/>
    <w:rsid w:val="004A7EEC"/>
    <w:rsid w:val="004B01CE"/>
    <w:rsid w:val="004B0261"/>
    <w:rsid w:val="004B02EC"/>
    <w:rsid w:val="004B03FC"/>
    <w:rsid w:val="004B04E2"/>
    <w:rsid w:val="004B078C"/>
    <w:rsid w:val="004B0DC3"/>
    <w:rsid w:val="004B0ECD"/>
    <w:rsid w:val="004B106A"/>
    <w:rsid w:val="004B114F"/>
    <w:rsid w:val="004B119A"/>
    <w:rsid w:val="004B11DE"/>
    <w:rsid w:val="004B165C"/>
    <w:rsid w:val="004B1669"/>
    <w:rsid w:val="004B183E"/>
    <w:rsid w:val="004B1896"/>
    <w:rsid w:val="004B1A96"/>
    <w:rsid w:val="004B1AB1"/>
    <w:rsid w:val="004B1C53"/>
    <w:rsid w:val="004B1D88"/>
    <w:rsid w:val="004B1DE7"/>
    <w:rsid w:val="004B206B"/>
    <w:rsid w:val="004B20FA"/>
    <w:rsid w:val="004B2255"/>
    <w:rsid w:val="004B237F"/>
    <w:rsid w:val="004B24D2"/>
    <w:rsid w:val="004B257A"/>
    <w:rsid w:val="004B26E8"/>
    <w:rsid w:val="004B2BD7"/>
    <w:rsid w:val="004B2CDB"/>
    <w:rsid w:val="004B2E22"/>
    <w:rsid w:val="004B2F83"/>
    <w:rsid w:val="004B30FF"/>
    <w:rsid w:val="004B32D1"/>
    <w:rsid w:val="004B3651"/>
    <w:rsid w:val="004B39A4"/>
    <w:rsid w:val="004B3AF3"/>
    <w:rsid w:val="004B433E"/>
    <w:rsid w:val="004B4362"/>
    <w:rsid w:val="004B4466"/>
    <w:rsid w:val="004B44B3"/>
    <w:rsid w:val="004B46E1"/>
    <w:rsid w:val="004B4701"/>
    <w:rsid w:val="004B4840"/>
    <w:rsid w:val="004B48FE"/>
    <w:rsid w:val="004B4A97"/>
    <w:rsid w:val="004B4E5E"/>
    <w:rsid w:val="004B4EF3"/>
    <w:rsid w:val="004B5087"/>
    <w:rsid w:val="004B53C5"/>
    <w:rsid w:val="004B5474"/>
    <w:rsid w:val="004B55EA"/>
    <w:rsid w:val="004B5607"/>
    <w:rsid w:val="004B577F"/>
    <w:rsid w:val="004B588E"/>
    <w:rsid w:val="004B5A1B"/>
    <w:rsid w:val="004B6017"/>
    <w:rsid w:val="004B6199"/>
    <w:rsid w:val="004B629D"/>
    <w:rsid w:val="004B6495"/>
    <w:rsid w:val="004B64D3"/>
    <w:rsid w:val="004B66D1"/>
    <w:rsid w:val="004B67E6"/>
    <w:rsid w:val="004B6955"/>
    <w:rsid w:val="004B6971"/>
    <w:rsid w:val="004B6B18"/>
    <w:rsid w:val="004B6B4C"/>
    <w:rsid w:val="004B6E5B"/>
    <w:rsid w:val="004B7249"/>
    <w:rsid w:val="004B72B5"/>
    <w:rsid w:val="004B7353"/>
    <w:rsid w:val="004B7407"/>
    <w:rsid w:val="004B75AC"/>
    <w:rsid w:val="004B795D"/>
    <w:rsid w:val="004B7A62"/>
    <w:rsid w:val="004B7CBE"/>
    <w:rsid w:val="004B7E8C"/>
    <w:rsid w:val="004C003F"/>
    <w:rsid w:val="004C01C6"/>
    <w:rsid w:val="004C040F"/>
    <w:rsid w:val="004C073B"/>
    <w:rsid w:val="004C0ADD"/>
    <w:rsid w:val="004C0BA7"/>
    <w:rsid w:val="004C0CB5"/>
    <w:rsid w:val="004C11E0"/>
    <w:rsid w:val="004C11FC"/>
    <w:rsid w:val="004C1217"/>
    <w:rsid w:val="004C14E8"/>
    <w:rsid w:val="004C1608"/>
    <w:rsid w:val="004C1652"/>
    <w:rsid w:val="004C1779"/>
    <w:rsid w:val="004C17E1"/>
    <w:rsid w:val="004C1925"/>
    <w:rsid w:val="004C1A13"/>
    <w:rsid w:val="004C1A3B"/>
    <w:rsid w:val="004C1BCD"/>
    <w:rsid w:val="004C1BE0"/>
    <w:rsid w:val="004C1FAE"/>
    <w:rsid w:val="004C2094"/>
    <w:rsid w:val="004C2172"/>
    <w:rsid w:val="004C227A"/>
    <w:rsid w:val="004C23EF"/>
    <w:rsid w:val="004C241B"/>
    <w:rsid w:val="004C255A"/>
    <w:rsid w:val="004C2869"/>
    <w:rsid w:val="004C2900"/>
    <w:rsid w:val="004C2B15"/>
    <w:rsid w:val="004C2C48"/>
    <w:rsid w:val="004C2C73"/>
    <w:rsid w:val="004C2CAF"/>
    <w:rsid w:val="004C2FBA"/>
    <w:rsid w:val="004C3082"/>
    <w:rsid w:val="004C313F"/>
    <w:rsid w:val="004C31BA"/>
    <w:rsid w:val="004C31D5"/>
    <w:rsid w:val="004C32E2"/>
    <w:rsid w:val="004C34C6"/>
    <w:rsid w:val="004C34C7"/>
    <w:rsid w:val="004C37E7"/>
    <w:rsid w:val="004C38B0"/>
    <w:rsid w:val="004C3A67"/>
    <w:rsid w:val="004C3AD9"/>
    <w:rsid w:val="004C3B25"/>
    <w:rsid w:val="004C3B62"/>
    <w:rsid w:val="004C3C16"/>
    <w:rsid w:val="004C3E10"/>
    <w:rsid w:val="004C3F5E"/>
    <w:rsid w:val="004C42C1"/>
    <w:rsid w:val="004C43E2"/>
    <w:rsid w:val="004C458F"/>
    <w:rsid w:val="004C474B"/>
    <w:rsid w:val="004C47A5"/>
    <w:rsid w:val="004C49B3"/>
    <w:rsid w:val="004C4C82"/>
    <w:rsid w:val="004C4D83"/>
    <w:rsid w:val="004C4EA3"/>
    <w:rsid w:val="004C52F4"/>
    <w:rsid w:val="004C563B"/>
    <w:rsid w:val="004C575E"/>
    <w:rsid w:val="004C5795"/>
    <w:rsid w:val="004C5A81"/>
    <w:rsid w:val="004C5AA0"/>
    <w:rsid w:val="004C5AAC"/>
    <w:rsid w:val="004C5C1D"/>
    <w:rsid w:val="004C5CAB"/>
    <w:rsid w:val="004C63A1"/>
    <w:rsid w:val="004C686C"/>
    <w:rsid w:val="004C68E6"/>
    <w:rsid w:val="004C69A3"/>
    <w:rsid w:val="004C6C66"/>
    <w:rsid w:val="004C6C8F"/>
    <w:rsid w:val="004C6D1E"/>
    <w:rsid w:val="004C713B"/>
    <w:rsid w:val="004C7259"/>
    <w:rsid w:val="004C73B1"/>
    <w:rsid w:val="004C73E0"/>
    <w:rsid w:val="004C73E4"/>
    <w:rsid w:val="004C740C"/>
    <w:rsid w:val="004C7462"/>
    <w:rsid w:val="004C74DB"/>
    <w:rsid w:val="004C750D"/>
    <w:rsid w:val="004C7773"/>
    <w:rsid w:val="004C7BD0"/>
    <w:rsid w:val="004C7CA7"/>
    <w:rsid w:val="004D01B5"/>
    <w:rsid w:val="004D02C5"/>
    <w:rsid w:val="004D03A8"/>
    <w:rsid w:val="004D05BB"/>
    <w:rsid w:val="004D099F"/>
    <w:rsid w:val="004D0A79"/>
    <w:rsid w:val="004D0ABA"/>
    <w:rsid w:val="004D0AFE"/>
    <w:rsid w:val="004D0BB4"/>
    <w:rsid w:val="004D0BF6"/>
    <w:rsid w:val="004D0DA7"/>
    <w:rsid w:val="004D105E"/>
    <w:rsid w:val="004D1286"/>
    <w:rsid w:val="004D1935"/>
    <w:rsid w:val="004D1B8E"/>
    <w:rsid w:val="004D1C31"/>
    <w:rsid w:val="004D1E07"/>
    <w:rsid w:val="004D1E5C"/>
    <w:rsid w:val="004D1F81"/>
    <w:rsid w:val="004D216B"/>
    <w:rsid w:val="004D2259"/>
    <w:rsid w:val="004D2454"/>
    <w:rsid w:val="004D24C8"/>
    <w:rsid w:val="004D26DA"/>
    <w:rsid w:val="004D2CAE"/>
    <w:rsid w:val="004D2D06"/>
    <w:rsid w:val="004D3420"/>
    <w:rsid w:val="004D3448"/>
    <w:rsid w:val="004D345C"/>
    <w:rsid w:val="004D3491"/>
    <w:rsid w:val="004D3B6F"/>
    <w:rsid w:val="004D3C38"/>
    <w:rsid w:val="004D3CA5"/>
    <w:rsid w:val="004D3E70"/>
    <w:rsid w:val="004D40C6"/>
    <w:rsid w:val="004D423B"/>
    <w:rsid w:val="004D425B"/>
    <w:rsid w:val="004D4341"/>
    <w:rsid w:val="004D443A"/>
    <w:rsid w:val="004D45CB"/>
    <w:rsid w:val="004D4891"/>
    <w:rsid w:val="004D4A43"/>
    <w:rsid w:val="004D4A84"/>
    <w:rsid w:val="004D4D64"/>
    <w:rsid w:val="004D4E3B"/>
    <w:rsid w:val="004D4EE7"/>
    <w:rsid w:val="004D4F5A"/>
    <w:rsid w:val="004D4F78"/>
    <w:rsid w:val="004D51AF"/>
    <w:rsid w:val="004D534A"/>
    <w:rsid w:val="004D56C6"/>
    <w:rsid w:val="004D583B"/>
    <w:rsid w:val="004D58CE"/>
    <w:rsid w:val="004D5913"/>
    <w:rsid w:val="004D5CBC"/>
    <w:rsid w:val="004D5DB6"/>
    <w:rsid w:val="004D603B"/>
    <w:rsid w:val="004D6212"/>
    <w:rsid w:val="004D6934"/>
    <w:rsid w:val="004D6A70"/>
    <w:rsid w:val="004D6A88"/>
    <w:rsid w:val="004D6B4E"/>
    <w:rsid w:val="004D6F4D"/>
    <w:rsid w:val="004D6F71"/>
    <w:rsid w:val="004D70B3"/>
    <w:rsid w:val="004D7146"/>
    <w:rsid w:val="004D7459"/>
    <w:rsid w:val="004D75D2"/>
    <w:rsid w:val="004D771A"/>
    <w:rsid w:val="004D7A2C"/>
    <w:rsid w:val="004D7C47"/>
    <w:rsid w:val="004D7D8B"/>
    <w:rsid w:val="004D7DC6"/>
    <w:rsid w:val="004D7DCA"/>
    <w:rsid w:val="004D7EFA"/>
    <w:rsid w:val="004E0331"/>
    <w:rsid w:val="004E06AB"/>
    <w:rsid w:val="004E06F0"/>
    <w:rsid w:val="004E09C4"/>
    <w:rsid w:val="004E0CAA"/>
    <w:rsid w:val="004E0F86"/>
    <w:rsid w:val="004E121F"/>
    <w:rsid w:val="004E12BA"/>
    <w:rsid w:val="004E1377"/>
    <w:rsid w:val="004E1548"/>
    <w:rsid w:val="004E15EC"/>
    <w:rsid w:val="004E15EE"/>
    <w:rsid w:val="004E1A84"/>
    <w:rsid w:val="004E1DB5"/>
    <w:rsid w:val="004E1E9D"/>
    <w:rsid w:val="004E1EC0"/>
    <w:rsid w:val="004E2049"/>
    <w:rsid w:val="004E2997"/>
    <w:rsid w:val="004E2A50"/>
    <w:rsid w:val="004E2A7C"/>
    <w:rsid w:val="004E2BC3"/>
    <w:rsid w:val="004E2C30"/>
    <w:rsid w:val="004E2D12"/>
    <w:rsid w:val="004E2EB9"/>
    <w:rsid w:val="004E32B8"/>
    <w:rsid w:val="004E34FC"/>
    <w:rsid w:val="004E3852"/>
    <w:rsid w:val="004E3B39"/>
    <w:rsid w:val="004E3CD7"/>
    <w:rsid w:val="004E3D70"/>
    <w:rsid w:val="004E3D71"/>
    <w:rsid w:val="004E43D4"/>
    <w:rsid w:val="004E47CC"/>
    <w:rsid w:val="004E487A"/>
    <w:rsid w:val="004E4A26"/>
    <w:rsid w:val="004E4B21"/>
    <w:rsid w:val="004E4B37"/>
    <w:rsid w:val="004E4B70"/>
    <w:rsid w:val="004E4F32"/>
    <w:rsid w:val="004E5287"/>
    <w:rsid w:val="004E59D3"/>
    <w:rsid w:val="004E5BDF"/>
    <w:rsid w:val="004E5C03"/>
    <w:rsid w:val="004E5E1E"/>
    <w:rsid w:val="004E6326"/>
    <w:rsid w:val="004E6502"/>
    <w:rsid w:val="004E6C35"/>
    <w:rsid w:val="004E6D4F"/>
    <w:rsid w:val="004E73DB"/>
    <w:rsid w:val="004E7618"/>
    <w:rsid w:val="004E7858"/>
    <w:rsid w:val="004E7E5E"/>
    <w:rsid w:val="004F0029"/>
    <w:rsid w:val="004F0182"/>
    <w:rsid w:val="004F01C8"/>
    <w:rsid w:val="004F035A"/>
    <w:rsid w:val="004F0421"/>
    <w:rsid w:val="004F05C6"/>
    <w:rsid w:val="004F07AF"/>
    <w:rsid w:val="004F09B8"/>
    <w:rsid w:val="004F0C17"/>
    <w:rsid w:val="004F0C2D"/>
    <w:rsid w:val="004F106B"/>
    <w:rsid w:val="004F1306"/>
    <w:rsid w:val="004F14E7"/>
    <w:rsid w:val="004F1CEF"/>
    <w:rsid w:val="004F1D11"/>
    <w:rsid w:val="004F2148"/>
    <w:rsid w:val="004F21EC"/>
    <w:rsid w:val="004F2B5B"/>
    <w:rsid w:val="004F2C30"/>
    <w:rsid w:val="004F2C44"/>
    <w:rsid w:val="004F2CCB"/>
    <w:rsid w:val="004F344A"/>
    <w:rsid w:val="004F3490"/>
    <w:rsid w:val="004F3B76"/>
    <w:rsid w:val="004F3B96"/>
    <w:rsid w:val="004F3BF7"/>
    <w:rsid w:val="004F3C31"/>
    <w:rsid w:val="004F3CA2"/>
    <w:rsid w:val="004F3E41"/>
    <w:rsid w:val="004F3F9E"/>
    <w:rsid w:val="004F40AF"/>
    <w:rsid w:val="004F438D"/>
    <w:rsid w:val="004F4447"/>
    <w:rsid w:val="004F4790"/>
    <w:rsid w:val="004F47C0"/>
    <w:rsid w:val="004F4BBD"/>
    <w:rsid w:val="004F4D1B"/>
    <w:rsid w:val="004F4D97"/>
    <w:rsid w:val="004F5040"/>
    <w:rsid w:val="004F55A8"/>
    <w:rsid w:val="004F5896"/>
    <w:rsid w:val="004F5BB2"/>
    <w:rsid w:val="004F5FDB"/>
    <w:rsid w:val="004F61D8"/>
    <w:rsid w:val="004F64BB"/>
    <w:rsid w:val="004F6506"/>
    <w:rsid w:val="004F66C8"/>
    <w:rsid w:val="004F6870"/>
    <w:rsid w:val="004F689E"/>
    <w:rsid w:val="004F6C23"/>
    <w:rsid w:val="004F6CE8"/>
    <w:rsid w:val="004F6CFC"/>
    <w:rsid w:val="004F6D1A"/>
    <w:rsid w:val="004F6D2A"/>
    <w:rsid w:val="004F6DDF"/>
    <w:rsid w:val="004F706B"/>
    <w:rsid w:val="004F7184"/>
    <w:rsid w:val="004F71CB"/>
    <w:rsid w:val="004F71E5"/>
    <w:rsid w:val="004F7475"/>
    <w:rsid w:val="004F752E"/>
    <w:rsid w:val="004F7547"/>
    <w:rsid w:val="004F762A"/>
    <w:rsid w:val="004F762D"/>
    <w:rsid w:val="004F7725"/>
    <w:rsid w:val="004F79CF"/>
    <w:rsid w:val="004F7D35"/>
    <w:rsid w:val="004F7E58"/>
    <w:rsid w:val="00500008"/>
    <w:rsid w:val="00500323"/>
    <w:rsid w:val="005004D5"/>
    <w:rsid w:val="005005EC"/>
    <w:rsid w:val="0050068E"/>
    <w:rsid w:val="0050083D"/>
    <w:rsid w:val="005008AC"/>
    <w:rsid w:val="00500B78"/>
    <w:rsid w:val="00500E7E"/>
    <w:rsid w:val="005012BD"/>
    <w:rsid w:val="00501421"/>
    <w:rsid w:val="005014A3"/>
    <w:rsid w:val="00501714"/>
    <w:rsid w:val="00501846"/>
    <w:rsid w:val="00501861"/>
    <w:rsid w:val="00501870"/>
    <w:rsid w:val="005018A9"/>
    <w:rsid w:val="00501958"/>
    <w:rsid w:val="00501D31"/>
    <w:rsid w:val="00502039"/>
    <w:rsid w:val="00502072"/>
    <w:rsid w:val="005020D4"/>
    <w:rsid w:val="005022B9"/>
    <w:rsid w:val="005023BF"/>
    <w:rsid w:val="0050246F"/>
    <w:rsid w:val="005025B4"/>
    <w:rsid w:val="005026DC"/>
    <w:rsid w:val="00502872"/>
    <w:rsid w:val="00502925"/>
    <w:rsid w:val="00502BC4"/>
    <w:rsid w:val="00502CD8"/>
    <w:rsid w:val="00502D39"/>
    <w:rsid w:val="00502E0F"/>
    <w:rsid w:val="00502FDF"/>
    <w:rsid w:val="00503246"/>
    <w:rsid w:val="0050334A"/>
    <w:rsid w:val="005034D8"/>
    <w:rsid w:val="00503661"/>
    <w:rsid w:val="00503904"/>
    <w:rsid w:val="00503930"/>
    <w:rsid w:val="00503960"/>
    <w:rsid w:val="00503A8A"/>
    <w:rsid w:val="00503AB5"/>
    <w:rsid w:val="00503E63"/>
    <w:rsid w:val="00503EC7"/>
    <w:rsid w:val="0050413D"/>
    <w:rsid w:val="00504655"/>
    <w:rsid w:val="005046D2"/>
    <w:rsid w:val="005047A5"/>
    <w:rsid w:val="0050498F"/>
    <w:rsid w:val="00504AB7"/>
    <w:rsid w:val="00504E3A"/>
    <w:rsid w:val="00504F9D"/>
    <w:rsid w:val="0050502A"/>
    <w:rsid w:val="00505041"/>
    <w:rsid w:val="0050517E"/>
    <w:rsid w:val="0050522A"/>
    <w:rsid w:val="00505894"/>
    <w:rsid w:val="0050590B"/>
    <w:rsid w:val="0050597C"/>
    <w:rsid w:val="00505A15"/>
    <w:rsid w:val="00505AA7"/>
    <w:rsid w:val="00505C83"/>
    <w:rsid w:val="00505CB3"/>
    <w:rsid w:val="00505F3D"/>
    <w:rsid w:val="00505FCA"/>
    <w:rsid w:val="0050607F"/>
    <w:rsid w:val="005062EE"/>
    <w:rsid w:val="0050631A"/>
    <w:rsid w:val="005064BA"/>
    <w:rsid w:val="00506733"/>
    <w:rsid w:val="0050691D"/>
    <w:rsid w:val="00506CB3"/>
    <w:rsid w:val="00506E8C"/>
    <w:rsid w:val="00506E9A"/>
    <w:rsid w:val="00506EDF"/>
    <w:rsid w:val="005070C6"/>
    <w:rsid w:val="0050723E"/>
    <w:rsid w:val="005079DD"/>
    <w:rsid w:val="00507A71"/>
    <w:rsid w:val="00507D99"/>
    <w:rsid w:val="00507F9C"/>
    <w:rsid w:val="00507FD7"/>
    <w:rsid w:val="005100D7"/>
    <w:rsid w:val="005104AF"/>
    <w:rsid w:val="00510552"/>
    <w:rsid w:val="00510626"/>
    <w:rsid w:val="00510AC0"/>
    <w:rsid w:val="00510C65"/>
    <w:rsid w:val="00510C7E"/>
    <w:rsid w:val="00510E4E"/>
    <w:rsid w:val="00510FBA"/>
    <w:rsid w:val="0051119B"/>
    <w:rsid w:val="005112B6"/>
    <w:rsid w:val="00511302"/>
    <w:rsid w:val="005113A7"/>
    <w:rsid w:val="00511602"/>
    <w:rsid w:val="005116A2"/>
    <w:rsid w:val="00511AA1"/>
    <w:rsid w:val="00511C1E"/>
    <w:rsid w:val="00511DA1"/>
    <w:rsid w:val="00511F71"/>
    <w:rsid w:val="00511FC9"/>
    <w:rsid w:val="005120C1"/>
    <w:rsid w:val="00512189"/>
    <w:rsid w:val="00512368"/>
    <w:rsid w:val="005126C1"/>
    <w:rsid w:val="005128BE"/>
    <w:rsid w:val="005129E7"/>
    <w:rsid w:val="00512A67"/>
    <w:rsid w:val="00512BDF"/>
    <w:rsid w:val="00512D1B"/>
    <w:rsid w:val="00512D8C"/>
    <w:rsid w:val="00512FD8"/>
    <w:rsid w:val="0051319C"/>
    <w:rsid w:val="005136F7"/>
    <w:rsid w:val="0051372A"/>
    <w:rsid w:val="00513AF1"/>
    <w:rsid w:val="00513BB2"/>
    <w:rsid w:val="00513CFB"/>
    <w:rsid w:val="00513E04"/>
    <w:rsid w:val="00514101"/>
    <w:rsid w:val="0051428B"/>
    <w:rsid w:val="00514402"/>
    <w:rsid w:val="0051462B"/>
    <w:rsid w:val="00514973"/>
    <w:rsid w:val="00514B94"/>
    <w:rsid w:val="00514D43"/>
    <w:rsid w:val="00514E77"/>
    <w:rsid w:val="00514EC3"/>
    <w:rsid w:val="0051552F"/>
    <w:rsid w:val="00515C39"/>
    <w:rsid w:val="00515C70"/>
    <w:rsid w:val="00515C7E"/>
    <w:rsid w:val="00515CC0"/>
    <w:rsid w:val="00515CCF"/>
    <w:rsid w:val="0051611A"/>
    <w:rsid w:val="0051645C"/>
    <w:rsid w:val="005166E1"/>
    <w:rsid w:val="005169BD"/>
    <w:rsid w:val="005169F8"/>
    <w:rsid w:val="00516C8A"/>
    <w:rsid w:val="00516D10"/>
    <w:rsid w:val="00516E5A"/>
    <w:rsid w:val="00516F82"/>
    <w:rsid w:val="005170B4"/>
    <w:rsid w:val="005172F8"/>
    <w:rsid w:val="00517356"/>
    <w:rsid w:val="005174A7"/>
    <w:rsid w:val="00517618"/>
    <w:rsid w:val="005176C8"/>
    <w:rsid w:val="0051772D"/>
    <w:rsid w:val="0051773C"/>
    <w:rsid w:val="0051782D"/>
    <w:rsid w:val="00517878"/>
    <w:rsid w:val="00517997"/>
    <w:rsid w:val="00517A1B"/>
    <w:rsid w:val="00517B08"/>
    <w:rsid w:val="00517B22"/>
    <w:rsid w:val="00517B49"/>
    <w:rsid w:val="005204DB"/>
    <w:rsid w:val="0052050E"/>
    <w:rsid w:val="00520648"/>
    <w:rsid w:val="00520733"/>
    <w:rsid w:val="00520917"/>
    <w:rsid w:val="00520D31"/>
    <w:rsid w:val="00520D6B"/>
    <w:rsid w:val="00520E96"/>
    <w:rsid w:val="00520EAC"/>
    <w:rsid w:val="0052117F"/>
    <w:rsid w:val="005211C7"/>
    <w:rsid w:val="00521247"/>
    <w:rsid w:val="0052135D"/>
    <w:rsid w:val="005214A1"/>
    <w:rsid w:val="00521520"/>
    <w:rsid w:val="0052173A"/>
    <w:rsid w:val="005217D3"/>
    <w:rsid w:val="00521A3E"/>
    <w:rsid w:val="00521A89"/>
    <w:rsid w:val="00522387"/>
    <w:rsid w:val="005224E5"/>
    <w:rsid w:val="005227FC"/>
    <w:rsid w:val="00522884"/>
    <w:rsid w:val="005228CF"/>
    <w:rsid w:val="00522D8C"/>
    <w:rsid w:val="00522DAC"/>
    <w:rsid w:val="00523030"/>
    <w:rsid w:val="00523145"/>
    <w:rsid w:val="00523156"/>
    <w:rsid w:val="00523257"/>
    <w:rsid w:val="0052346E"/>
    <w:rsid w:val="0052388A"/>
    <w:rsid w:val="00523DD5"/>
    <w:rsid w:val="00523E42"/>
    <w:rsid w:val="00523F8F"/>
    <w:rsid w:val="005240BD"/>
    <w:rsid w:val="0052418C"/>
    <w:rsid w:val="00524385"/>
    <w:rsid w:val="005243C2"/>
    <w:rsid w:val="005243D5"/>
    <w:rsid w:val="005243D6"/>
    <w:rsid w:val="005243F4"/>
    <w:rsid w:val="00524566"/>
    <w:rsid w:val="005245DD"/>
    <w:rsid w:val="00524723"/>
    <w:rsid w:val="005248E4"/>
    <w:rsid w:val="00524945"/>
    <w:rsid w:val="00524A04"/>
    <w:rsid w:val="00525240"/>
    <w:rsid w:val="00525534"/>
    <w:rsid w:val="0052558E"/>
    <w:rsid w:val="005256E6"/>
    <w:rsid w:val="005257C4"/>
    <w:rsid w:val="005258EB"/>
    <w:rsid w:val="00525A69"/>
    <w:rsid w:val="00525E04"/>
    <w:rsid w:val="005261A2"/>
    <w:rsid w:val="00526CA8"/>
    <w:rsid w:val="00526EDA"/>
    <w:rsid w:val="00526F17"/>
    <w:rsid w:val="00527078"/>
    <w:rsid w:val="005276EE"/>
    <w:rsid w:val="00527848"/>
    <w:rsid w:val="00527AAB"/>
    <w:rsid w:val="00527ADC"/>
    <w:rsid w:val="00527CA5"/>
    <w:rsid w:val="00527EEB"/>
    <w:rsid w:val="00527F16"/>
    <w:rsid w:val="00527FAA"/>
    <w:rsid w:val="00530074"/>
    <w:rsid w:val="005304AA"/>
    <w:rsid w:val="00530519"/>
    <w:rsid w:val="00530684"/>
    <w:rsid w:val="00530E9B"/>
    <w:rsid w:val="00530FA3"/>
    <w:rsid w:val="00531053"/>
    <w:rsid w:val="005310C3"/>
    <w:rsid w:val="005310CD"/>
    <w:rsid w:val="0053115E"/>
    <w:rsid w:val="005315ED"/>
    <w:rsid w:val="00531673"/>
    <w:rsid w:val="005317B7"/>
    <w:rsid w:val="00531A18"/>
    <w:rsid w:val="00531F4E"/>
    <w:rsid w:val="00531FCD"/>
    <w:rsid w:val="00532067"/>
    <w:rsid w:val="005321AA"/>
    <w:rsid w:val="005324E6"/>
    <w:rsid w:val="00532503"/>
    <w:rsid w:val="005325A7"/>
    <w:rsid w:val="005326BE"/>
    <w:rsid w:val="005327C5"/>
    <w:rsid w:val="00532863"/>
    <w:rsid w:val="00532983"/>
    <w:rsid w:val="00532A8B"/>
    <w:rsid w:val="00532AD2"/>
    <w:rsid w:val="00532DEE"/>
    <w:rsid w:val="00532E18"/>
    <w:rsid w:val="00532F50"/>
    <w:rsid w:val="00533127"/>
    <w:rsid w:val="0053328E"/>
    <w:rsid w:val="0053346E"/>
    <w:rsid w:val="005336D9"/>
    <w:rsid w:val="00533840"/>
    <w:rsid w:val="00533A57"/>
    <w:rsid w:val="00533A6E"/>
    <w:rsid w:val="00533B7F"/>
    <w:rsid w:val="00533E12"/>
    <w:rsid w:val="005340EF"/>
    <w:rsid w:val="0053432F"/>
    <w:rsid w:val="00534543"/>
    <w:rsid w:val="00534794"/>
    <w:rsid w:val="00534918"/>
    <w:rsid w:val="005349CF"/>
    <w:rsid w:val="00534A70"/>
    <w:rsid w:val="00534AEA"/>
    <w:rsid w:val="00534C9D"/>
    <w:rsid w:val="00534D9B"/>
    <w:rsid w:val="00535160"/>
    <w:rsid w:val="00535238"/>
    <w:rsid w:val="00535442"/>
    <w:rsid w:val="00535652"/>
    <w:rsid w:val="005356FB"/>
    <w:rsid w:val="0053584F"/>
    <w:rsid w:val="0053585F"/>
    <w:rsid w:val="00535991"/>
    <w:rsid w:val="0053607E"/>
    <w:rsid w:val="00536363"/>
    <w:rsid w:val="005363BC"/>
    <w:rsid w:val="005364F1"/>
    <w:rsid w:val="005365F4"/>
    <w:rsid w:val="005368B3"/>
    <w:rsid w:val="0053692A"/>
    <w:rsid w:val="00536C45"/>
    <w:rsid w:val="00536ED4"/>
    <w:rsid w:val="00536FF1"/>
    <w:rsid w:val="005370D0"/>
    <w:rsid w:val="00537214"/>
    <w:rsid w:val="00537463"/>
    <w:rsid w:val="00537497"/>
    <w:rsid w:val="0053758E"/>
    <w:rsid w:val="005377BB"/>
    <w:rsid w:val="005378EA"/>
    <w:rsid w:val="00537D8A"/>
    <w:rsid w:val="00537F70"/>
    <w:rsid w:val="00537FC4"/>
    <w:rsid w:val="00540232"/>
    <w:rsid w:val="0054024D"/>
    <w:rsid w:val="00540414"/>
    <w:rsid w:val="00540576"/>
    <w:rsid w:val="005405D4"/>
    <w:rsid w:val="005407CE"/>
    <w:rsid w:val="00540AD5"/>
    <w:rsid w:val="00540DEC"/>
    <w:rsid w:val="00540F41"/>
    <w:rsid w:val="00540F76"/>
    <w:rsid w:val="00540FAD"/>
    <w:rsid w:val="00541115"/>
    <w:rsid w:val="00541216"/>
    <w:rsid w:val="00541259"/>
    <w:rsid w:val="0054167C"/>
    <w:rsid w:val="00541822"/>
    <w:rsid w:val="0054186C"/>
    <w:rsid w:val="00541931"/>
    <w:rsid w:val="00541A68"/>
    <w:rsid w:val="00541B46"/>
    <w:rsid w:val="00541CA1"/>
    <w:rsid w:val="00541DAD"/>
    <w:rsid w:val="00541DD1"/>
    <w:rsid w:val="0054218E"/>
    <w:rsid w:val="005421D3"/>
    <w:rsid w:val="00542282"/>
    <w:rsid w:val="0054235A"/>
    <w:rsid w:val="005429FD"/>
    <w:rsid w:val="00542AA8"/>
    <w:rsid w:val="00542D1F"/>
    <w:rsid w:val="00542DF2"/>
    <w:rsid w:val="00542DF7"/>
    <w:rsid w:val="005430E2"/>
    <w:rsid w:val="005433C4"/>
    <w:rsid w:val="00543662"/>
    <w:rsid w:val="005439C4"/>
    <w:rsid w:val="00543DD9"/>
    <w:rsid w:val="00543E22"/>
    <w:rsid w:val="00544483"/>
    <w:rsid w:val="00544588"/>
    <w:rsid w:val="005447EA"/>
    <w:rsid w:val="005448F7"/>
    <w:rsid w:val="00544A15"/>
    <w:rsid w:val="00544A6B"/>
    <w:rsid w:val="00544AA0"/>
    <w:rsid w:val="00544AA4"/>
    <w:rsid w:val="00544AAA"/>
    <w:rsid w:val="00544CE1"/>
    <w:rsid w:val="005452ED"/>
    <w:rsid w:val="00545415"/>
    <w:rsid w:val="005456D1"/>
    <w:rsid w:val="00545768"/>
    <w:rsid w:val="00545777"/>
    <w:rsid w:val="00545AC0"/>
    <w:rsid w:val="00545BF5"/>
    <w:rsid w:val="00546158"/>
    <w:rsid w:val="005465EF"/>
    <w:rsid w:val="0054673A"/>
    <w:rsid w:val="0054697E"/>
    <w:rsid w:val="005469B3"/>
    <w:rsid w:val="00546C89"/>
    <w:rsid w:val="00546CEF"/>
    <w:rsid w:val="00546EB1"/>
    <w:rsid w:val="00546ECC"/>
    <w:rsid w:val="00546FB1"/>
    <w:rsid w:val="00547440"/>
    <w:rsid w:val="005476FD"/>
    <w:rsid w:val="00547762"/>
    <w:rsid w:val="00547B9E"/>
    <w:rsid w:val="00547F7A"/>
    <w:rsid w:val="00547FC8"/>
    <w:rsid w:val="00550003"/>
    <w:rsid w:val="005500AF"/>
    <w:rsid w:val="0055022C"/>
    <w:rsid w:val="00550285"/>
    <w:rsid w:val="00550A8C"/>
    <w:rsid w:val="00550B00"/>
    <w:rsid w:val="00550E32"/>
    <w:rsid w:val="00551450"/>
    <w:rsid w:val="005514E1"/>
    <w:rsid w:val="0055158C"/>
    <w:rsid w:val="005516A1"/>
    <w:rsid w:val="005517C0"/>
    <w:rsid w:val="0055197F"/>
    <w:rsid w:val="005519F1"/>
    <w:rsid w:val="00551A91"/>
    <w:rsid w:val="00551A94"/>
    <w:rsid w:val="00551C66"/>
    <w:rsid w:val="00551DBF"/>
    <w:rsid w:val="00551DEE"/>
    <w:rsid w:val="00551E52"/>
    <w:rsid w:val="00551FA4"/>
    <w:rsid w:val="005521BE"/>
    <w:rsid w:val="005522C4"/>
    <w:rsid w:val="0055246F"/>
    <w:rsid w:val="00552632"/>
    <w:rsid w:val="00552706"/>
    <w:rsid w:val="0055270C"/>
    <w:rsid w:val="005528BC"/>
    <w:rsid w:val="00552BFC"/>
    <w:rsid w:val="00552CC2"/>
    <w:rsid w:val="00552EDB"/>
    <w:rsid w:val="00552FE4"/>
    <w:rsid w:val="005531C2"/>
    <w:rsid w:val="00553294"/>
    <w:rsid w:val="005532DB"/>
    <w:rsid w:val="005533E6"/>
    <w:rsid w:val="005533F8"/>
    <w:rsid w:val="00553550"/>
    <w:rsid w:val="00553585"/>
    <w:rsid w:val="00553AD1"/>
    <w:rsid w:val="00553B65"/>
    <w:rsid w:val="00554221"/>
    <w:rsid w:val="00554E2A"/>
    <w:rsid w:val="005551B9"/>
    <w:rsid w:val="00555447"/>
    <w:rsid w:val="005555B0"/>
    <w:rsid w:val="00555773"/>
    <w:rsid w:val="00555783"/>
    <w:rsid w:val="00555905"/>
    <w:rsid w:val="00555C71"/>
    <w:rsid w:val="00555DD1"/>
    <w:rsid w:val="00555DD7"/>
    <w:rsid w:val="00555E1E"/>
    <w:rsid w:val="00555E34"/>
    <w:rsid w:val="00556285"/>
    <w:rsid w:val="005562F9"/>
    <w:rsid w:val="0055637C"/>
    <w:rsid w:val="005568A1"/>
    <w:rsid w:val="00556AC1"/>
    <w:rsid w:val="00556E6C"/>
    <w:rsid w:val="00556F0B"/>
    <w:rsid w:val="00556F1F"/>
    <w:rsid w:val="00556FA5"/>
    <w:rsid w:val="005570BE"/>
    <w:rsid w:val="005571B3"/>
    <w:rsid w:val="005575B0"/>
    <w:rsid w:val="005576A1"/>
    <w:rsid w:val="005579AC"/>
    <w:rsid w:val="005579EA"/>
    <w:rsid w:val="00557E9D"/>
    <w:rsid w:val="00560650"/>
    <w:rsid w:val="005606B7"/>
    <w:rsid w:val="005609BA"/>
    <w:rsid w:val="00560AF6"/>
    <w:rsid w:val="00560B8A"/>
    <w:rsid w:val="00560CC3"/>
    <w:rsid w:val="00560D8B"/>
    <w:rsid w:val="00561026"/>
    <w:rsid w:val="00561065"/>
    <w:rsid w:val="005610AE"/>
    <w:rsid w:val="00561107"/>
    <w:rsid w:val="00561387"/>
    <w:rsid w:val="005615EB"/>
    <w:rsid w:val="0056163B"/>
    <w:rsid w:val="00561724"/>
    <w:rsid w:val="00561986"/>
    <w:rsid w:val="00561A1D"/>
    <w:rsid w:val="00561A7A"/>
    <w:rsid w:val="00561D8C"/>
    <w:rsid w:val="00561DF1"/>
    <w:rsid w:val="00561FA5"/>
    <w:rsid w:val="0056241D"/>
    <w:rsid w:val="005624E2"/>
    <w:rsid w:val="00562621"/>
    <w:rsid w:val="005627BD"/>
    <w:rsid w:val="00562B21"/>
    <w:rsid w:val="00562B32"/>
    <w:rsid w:val="00562B9F"/>
    <w:rsid w:val="00562CAC"/>
    <w:rsid w:val="00562CE9"/>
    <w:rsid w:val="00562D66"/>
    <w:rsid w:val="00562DF7"/>
    <w:rsid w:val="00562E70"/>
    <w:rsid w:val="00562E7D"/>
    <w:rsid w:val="005630F3"/>
    <w:rsid w:val="00563131"/>
    <w:rsid w:val="005631CF"/>
    <w:rsid w:val="005633EF"/>
    <w:rsid w:val="00563654"/>
    <w:rsid w:val="005636F3"/>
    <w:rsid w:val="005637DD"/>
    <w:rsid w:val="005638C4"/>
    <w:rsid w:val="005638E1"/>
    <w:rsid w:val="0056398D"/>
    <w:rsid w:val="00563A20"/>
    <w:rsid w:val="00563B58"/>
    <w:rsid w:val="00563B5D"/>
    <w:rsid w:val="00563DE7"/>
    <w:rsid w:val="00563DEE"/>
    <w:rsid w:val="00563DF8"/>
    <w:rsid w:val="00563ED2"/>
    <w:rsid w:val="005642D7"/>
    <w:rsid w:val="00564886"/>
    <w:rsid w:val="00564997"/>
    <w:rsid w:val="00564A4E"/>
    <w:rsid w:val="00564AA2"/>
    <w:rsid w:val="00564DF9"/>
    <w:rsid w:val="00564ED3"/>
    <w:rsid w:val="005650A7"/>
    <w:rsid w:val="00565117"/>
    <w:rsid w:val="0056519A"/>
    <w:rsid w:val="0056559F"/>
    <w:rsid w:val="005656EB"/>
    <w:rsid w:val="005657B3"/>
    <w:rsid w:val="005657C9"/>
    <w:rsid w:val="0056594E"/>
    <w:rsid w:val="00565E2D"/>
    <w:rsid w:val="00565F35"/>
    <w:rsid w:val="00566060"/>
    <w:rsid w:val="005661F7"/>
    <w:rsid w:val="0056625B"/>
    <w:rsid w:val="00566276"/>
    <w:rsid w:val="005662A8"/>
    <w:rsid w:val="005663B2"/>
    <w:rsid w:val="00566463"/>
    <w:rsid w:val="005665F4"/>
    <w:rsid w:val="005666AF"/>
    <w:rsid w:val="00566C60"/>
    <w:rsid w:val="00566E96"/>
    <w:rsid w:val="00567156"/>
    <w:rsid w:val="00567295"/>
    <w:rsid w:val="005674A8"/>
    <w:rsid w:val="005675E0"/>
    <w:rsid w:val="005675EC"/>
    <w:rsid w:val="005676E3"/>
    <w:rsid w:val="0056773A"/>
    <w:rsid w:val="00567A1E"/>
    <w:rsid w:val="00567FF9"/>
    <w:rsid w:val="0057058B"/>
    <w:rsid w:val="00570602"/>
    <w:rsid w:val="0057068C"/>
    <w:rsid w:val="005707D7"/>
    <w:rsid w:val="00570D58"/>
    <w:rsid w:val="00570F12"/>
    <w:rsid w:val="00571227"/>
    <w:rsid w:val="0057128E"/>
    <w:rsid w:val="005719D0"/>
    <w:rsid w:val="00571C97"/>
    <w:rsid w:val="00571CF5"/>
    <w:rsid w:val="00571DC6"/>
    <w:rsid w:val="0057236E"/>
    <w:rsid w:val="005728F6"/>
    <w:rsid w:val="00572934"/>
    <w:rsid w:val="00572BE2"/>
    <w:rsid w:val="00572DD8"/>
    <w:rsid w:val="00572E86"/>
    <w:rsid w:val="00572F58"/>
    <w:rsid w:val="00573449"/>
    <w:rsid w:val="005735D9"/>
    <w:rsid w:val="0057361D"/>
    <w:rsid w:val="00573696"/>
    <w:rsid w:val="0057381B"/>
    <w:rsid w:val="00573897"/>
    <w:rsid w:val="00573AE8"/>
    <w:rsid w:val="00573B39"/>
    <w:rsid w:val="00573B5D"/>
    <w:rsid w:val="00573CC1"/>
    <w:rsid w:val="00573DBC"/>
    <w:rsid w:val="0057400F"/>
    <w:rsid w:val="00574084"/>
    <w:rsid w:val="00574239"/>
    <w:rsid w:val="00574511"/>
    <w:rsid w:val="00574727"/>
    <w:rsid w:val="0057492D"/>
    <w:rsid w:val="005749B8"/>
    <w:rsid w:val="00574C82"/>
    <w:rsid w:val="00574E0E"/>
    <w:rsid w:val="00574EB4"/>
    <w:rsid w:val="00575116"/>
    <w:rsid w:val="00575577"/>
    <w:rsid w:val="005755AA"/>
    <w:rsid w:val="00575610"/>
    <w:rsid w:val="005757E6"/>
    <w:rsid w:val="00575801"/>
    <w:rsid w:val="00575808"/>
    <w:rsid w:val="005758CC"/>
    <w:rsid w:val="00575975"/>
    <w:rsid w:val="00575B07"/>
    <w:rsid w:val="00575CB6"/>
    <w:rsid w:val="00575D49"/>
    <w:rsid w:val="00576064"/>
    <w:rsid w:val="0057673B"/>
    <w:rsid w:val="00576B8D"/>
    <w:rsid w:val="00576C51"/>
    <w:rsid w:val="00576CD8"/>
    <w:rsid w:val="00576DBB"/>
    <w:rsid w:val="00577089"/>
    <w:rsid w:val="005773DE"/>
    <w:rsid w:val="0057747C"/>
    <w:rsid w:val="00577685"/>
    <w:rsid w:val="00577897"/>
    <w:rsid w:val="00577C35"/>
    <w:rsid w:val="00577C84"/>
    <w:rsid w:val="00577E2D"/>
    <w:rsid w:val="005800F1"/>
    <w:rsid w:val="005801C0"/>
    <w:rsid w:val="005801ED"/>
    <w:rsid w:val="005803DA"/>
    <w:rsid w:val="00580503"/>
    <w:rsid w:val="0058066F"/>
    <w:rsid w:val="005806BE"/>
    <w:rsid w:val="00580703"/>
    <w:rsid w:val="00580D05"/>
    <w:rsid w:val="00580DA5"/>
    <w:rsid w:val="00580DF8"/>
    <w:rsid w:val="00580FA2"/>
    <w:rsid w:val="005812B0"/>
    <w:rsid w:val="00581348"/>
    <w:rsid w:val="00581501"/>
    <w:rsid w:val="00581900"/>
    <w:rsid w:val="0058195B"/>
    <w:rsid w:val="00581A1E"/>
    <w:rsid w:val="00581A20"/>
    <w:rsid w:val="00581BA4"/>
    <w:rsid w:val="00581BC3"/>
    <w:rsid w:val="00582619"/>
    <w:rsid w:val="0058276F"/>
    <w:rsid w:val="005827AF"/>
    <w:rsid w:val="00582819"/>
    <w:rsid w:val="00582A7C"/>
    <w:rsid w:val="00582B4C"/>
    <w:rsid w:val="00582BAC"/>
    <w:rsid w:val="00582BCD"/>
    <w:rsid w:val="00582D78"/>
    <w:rsid w:val="00582EE2"/>
    <w:rsid w:val="00583078"/>
    <w:rsid w:val="0058326A"/>
    <w:rsid w:val="0058356A"/>
    <w:rsid w:val="00583700"/>
    <w:rsid w:val="005837C8"/>
    <w:rsid w:val="00583983"/>
    <w:rsid w:val="00583CEA"/>
    <w:rsid w:val="00584004"/>
    <w:rsid w:val="005840BA"/>
    <w:rsid w:val="005841B3"/>
    <w:rsid w:val="005842F4"/>
    <w:rsid w:val="00584722"/>
    <w:rsid w:val="00584730"/>
    <w:rsid w:val="00584778"/>
    <w:rsid w:val="00584836"/>
    <w:rsid w:val="005848C3"/>
    <w:rsid w:val="00584E18"/>
    <w:rsid w:val="00584E3F"/>
    <w:rsid w:val="00584FE2"/>
    <w:rsid w:val="00585250"/>
    <w:rsid w:val="00585564"/>
    <w:rsid w:val="0058561A"/>
    <w:rsid w:val="005856BF"/>
    <w:rsid w:val="00585908"/>
    <w:rsid w:val="00585965"/>
    <w:rsid w:val="00585A82"/>
    <w:rsid w:val="00585BB2"/>
    <w:rsid w:val="00585C5A"/>
    <w:rsid w:val="00585D4F"/>
    <w:rsid w:val="00585DD5"/>
    <w:rsid w:val="0058610D"/>
    <w:rsid w:val="0058615D"/>
    <w:rsid w:val="0058616C"/>
    <w:rsid w:val="005862EC"/>
    <w:rsid w:val="00586306"/>
    <w:rsid w:val="00586449"/>
    <w:rsid w:val="0058675E"/>
    <w:rsid w:val="00586B3F"/>
    <w:rsid w:val="00586BB5"/>
    <w:rsid w:val="00586C19"/>
    <w:rsid w:val="00587050"/>
    <w:rsid w:val="00587130"/>
    <w:rsid w:val="0058725C"/>
    <w:rsid w:val="005872D8"/>
    <w:rsid w:val="0058742A"/>
    <w:rsid w:val="0058743A"/>
    <w:rsid w:val="00587441"/>
    <w:rsid w:val="00587605"/>
    <w:rsid w:val="0058768D"/>
    <w:rsid w:val="005876B3"/>
    <w:rsid w:val="00587886"/>
    <w:rsid w:val="00587937"/>
    <w:rsid w:val="00587972"/>
    <w:rsid w:val="005879AA"/>
    <w:rsid w:val="00590222"/>
    <w:rsid w:val="00590B4A"/>
    <w:rsid w:val="00590C9C"/>
    <w:rsid w:val="00590E5A"/>
    <w:rsid w:val="00590FEC"/>
    <w:rsid w:val="00591048"/>
    <w:rsid w:val="005913B8"/>
    <w:rsid w:val="005915CA"/>
    <w:rsid w:val="00591A86"/>
    <w:rsid w:val="00591C22"/>
    <w:rsid w:val="00591DA2"/>
    <w:rsid w:val="00591DE4"/>
    <w:rsid w:val="00591E20"/>
    <w:rsid w:val="0059200A"/>
    <w:rsid w:val="00592070"/>
    <w:rsid w:val="00592101"/>
    <w:rsid w:val="00592290"/>
    <w:rsid w:val="0059240C"/>
    <w:rsid w:val="005925E7"/>
    <w:rsid w:val="005927BE"/>
    <w:rsid w:val="00592812"/>
    <w:rsid w:val="0059284C"/>
    <w:rsid w:val="005928E9"/>
    <w:rsid w:val="00592A04"/>
    <w:rsid w:val="00592E3E"/>
    <w:rsid w:val="00592F38"/>
    <w:rsid w:val="00593222"/>
    <w:rsid w:val="00593342"/>
    <w:rsid w:val="005938DF"/>
    <w:rsid w:val="00593C38"/>
    <w:rsid w:val="00593E53"/>
    <w:rsid w:val="00593F85"/>
    <w:rsid w:val="0059402F"/>
    <w:rsid w:val="005940EB"/>
    <w:rsid w:val="00594852"/>
    <w:rsid w:val="00594ED3"/>
    <w:rsid w:val="00594FBB"/>
    <w:rsid w:val="00595409"/>
    <w:rsid w:val="00595790"/>
    <w:rsid w:val="00595855"/>
    <w:rsid w:val="00595952"/>
    <w:rsid w:val="0059596F"/>
    <w:rsid w:val="00595B42"/>
    <w:rsid w:val="00595C65"/>
    <w:rsid w:val="00595E35"/>
    <w:rsid w:val="00595F99"/>
    <w:rsid w:val="0059616D"/>
    <w:rsid w:val="005964BC"/>
    <w:rsid w:val="005969EC"/>
    <w:rsid w:val="00596CED"/>
    <w:rsid w:val="00596D29"/>
    <w:rsid w:val="00596FA8"/>
    <w:rsid w:val="00596FBE"/>
    <w:rsid w:val="0059702D"/>
    <w:rsid w:val="005972B8"/>
    <w:rsid w:val="005973CE"/>
    <w:rsid w:val="00597559"/>
    <w:rsid w:val="005975C4"/>
    <w:rsid w:val="0059762F"/>
    <w:rsid w:val="00597710"/>
    <w:rsid w:val="00597795"/>
    <w:rsid w:val="00597965"/>
    <w:rsid w:val="00597C79"/>
    <w:rsid w:val="00597CD9"/>
    <w:rsid w:val="00597E6F"/>
    <w:rsid w:val="00597F0A"/>
    <w:rsid w:val="00597F74"/>
    <w:rsid w:val="005A0022"/>
    <w:rsid w:val="005A00CF"/>
    <w:rsid w:val="005A00F7"/>
    <w:rsid w:val="005A02F9"/>
    <w:rsid w:val="005A0421"/>
    <w:rsid w:val="005A07FC"/>
    <w:rsid w:val="005A0809"/>
    <w:rsid w:val="005A0929"/>
    <w:rsid w:val="005A0A79"/>
    <w:rsid w:val="005A0AF7"/>
    <w:rsid w:val="005A0C03"/>
    <w:rsid w:val="005A0D26"/>
    <w:rsid w:val="005A0D7C"/>
    <w:rsid w:val="005A0E9F"/>
    <w:rsid w:val="005A0FE4"/>
    <w:rsid w:val="005A10FE"/>
    <w:rsid w:val="005A1115"/>
    <w:rsid w:val="005A12CF"/>
    <w:rsid w:val="005A15E8"/>
    <w:rsid w:val="005A1A41"/>
    <w:rsid w:val="005A1BE6"/>
    <w:rsid w:val="005A1D5B"/>
    <w:rsid w:val="005A1FD3"/>
    <w:rsid w:val="005A20F7"/>
    <w:rsid w:val="005A21D3"/>
    <w:rsid w:val="005A2A03"/>
    <w:rsid w:val="005A2BF7"/>
    <w:rsid w:val="005A2CC2"/>
    <w:rsid w:val="005A2CD0"/>
    <w:rsid w:val="005A2F9E"/>
    <w:rsid w:val="005A30F4"/>
    <w:rsid w:val="005A314A"/>
    <w:rsid w:val="005A3215"/>
    <w:rsid w:val="005A34B8"/>
    <w:rsid w:val="005A358C"/>
    <w:rsid w:val="005A36C6"/>
    <w:rsid w:val="005A3741"/>
    <w:rsid w:val="005A38F6"/>
    <w:rsid w:val="005A39A2"/>
    <w:rsid w:val="005A3A87"/>
    <w:rsid w:val="005A3AD9"/>
    <w:rsid w:val="005A3B0F"/>
    <w:rsid w:val="005A3C3C"/>
    <w:rsid w:val="005A3C8E"/>
    <w:rsid w:val="005A3F3D"/>
    <w:rsid w:val="005A4052"/>
    <w:rsid w:val="005A40B4"/>
    <w:rsid w:val="005A41B0"/>
    <w:rsid w:val="005A44A7"/>
    <w:rsid w:val="005A456E"/>
    <w:rsid w:val="005A4576"/>
    <w:rsid w:val="005A4633"/>
    <w:rsid w:val="005A4704"/>
    <w:rsid w:val="005A47F0"/>
    <w:rsid w:val="005A484E"/>
    <w:rsid w:val="005A49F2"/>
    <w:rsid w:val="005A4CC0"/>
    <w:rsid w:val="005A4DF2"/>
    <w:rsid w:val="005A5134"/>
    <w:rsid w:val="005A5527"/>
    <w:rsid w:val="005A558B"/>
    <w:rsid w:val="005A5629"/>
    <w:rsid w:val="005A59DA"/>
    <w:rsid w:val="005A5A99"/>
    <w:rsid w:val="005A5AF6"/>
    <w:rsid w:val="005A5C5F"/>
    <w:rsid w:val="005A5CBF"/>
    <w:rsid w:val="005A5E3D"/>
    <w:rsid w:val="005A5EC4"/>
    <w:rsid w:val="005A5EF0"/>
    <w:rsid w:val="005A6270"/>
    <w:rsid w:val="005A62E3"/>
    <w:rsid w:val="005A62FC"/>
    <w:rsid w:val="005A6777"/>
    <w:rsid w:val="005A6882"/>
    <w:rsid w:val="005A6AC6"/>
    <w:rsid w:val="005A6B46"/>
    <w:rsid w:val="005A707F"/>
    <w:rsid w:val="005A7271"/>
    <w:rsid w:val="005A735E"/>
    <w:rsid w:val="005A767D"/>
    <w:rsid w:val="005A77ED"/>
    <w:rsid w:val="005A7834"/>
    <w:rsid w:val="005A7B0A"/>
    <w:rsid w:val="005A7BE2"/>
    <w:rsid w:val="005A7F10"/>
    <w:rsid w:val="005A7FDC"/>
    <w:rsid w:val="005B011D"/>
    <w:rsid w:val="005B0281"/>
    <w:rsid w:val="005B02C3"/>
    <w:rsid w:val="005B03C7"/>
    <w:rsid w:val="005B05DE"/>
    <w:rsid w:val="005B0A21"/>
    <w:rsid w:val="005B0A4A"/>
    <w:rsid w:val="005B1046"/>
    <w:rsid w:val="005B10E3"/>
    <w:rsid w:val="005B12FD"/>
    <w:rsid w:val="005B17D6"/>
    <w:rsid w:val="005B19B0"/>
    <w:rsid w:val="005B1B08"/>
    <w:rsid w:val="005B1C3C"/>
    <w:rsid w:val="005B1D4E"/>
    <w:rsid w:val="005B1E21"/>
    <w:rsid w:val="005B2044"/>
    <w:rsid w:val="005B219D"/>
    <w:rsid w:val="005B22CC"/>
    <w:rsid w:val="005B2509"/>
    <w:rsid w:val="005B2576"/>
    <w:rsid w:val="005B258D"/>
    <w:rsid w:val="005B261B"/>
    <w:rsid w:val="005B2749"/>
    <w:rsid w:val="005B27A4"/>
    <w:rsid w:val="005B29A7"/>
    <w:rsid w:val="005B2BD5"/>
    <w:rsid w:val="005B2C0E"/>
    <w:rsid w:val="005B2ECA"/>
    <w:rsid w:val="005B306D"/>
    <w:rsid w:val="005B310A"/>
    <w:rsid w:val="005B34C1"/>
    <w:rsid w:val="005B3A8E"/>
    <w:rsid w:val="005B3DE4"/>
    <w:rsid w:val="005B3F16"/>
    <w:rsid w:val="005B3FEB"/>
    <w:rsid w:val="005B4086"/>
    <w:rsid w:val="005B4113"/>
    <w:rsid w:val="005B420A"/>
    <w:rsid w:val="005B428B"/>
    <w:rsid w:val="005B4378"/>
    <w:rsid w:val="005B43D3"/>
    <w:rsid w:val="005B472C"/>
    <w:rsid w:val="005B4796"/>
    <w:rsid w:val="005B47FC"/>
    <w:rsid w:val="005B4A56"/>
    <w:rsid w:val="005B4C80"/>
    <w:rsid w:val="005B4E65"/>
    <w:rsid w:val="005B50B6"/>
    <w:rsid w:val="005B5128"/>
    <w:rsid w:val="005B518C"/>
    <w:rsid w:val="005B535D"/>
    <w:rsid w:val="005B54BC"/>
    <w:rsid w:val="005B55CA"/>
    <w:rsid w:val="005B56B2"/>
    <w:rsid w:val="005B5983"/>
    <w:rsid w:val="005B5A6E"/>
    <w:rsid w:val="005B5B59"/>
    <w:rsid w:val="005B5B9D"/>
    <w:rsid w:val="005B5E05"/>
    <w:rsid w:val="005B5E49"/>
    <w:rsid w:val="005B5ECD"/>
    <w:rsid w:val="005B6302"/>
    <w:rsid w:val="005B643E"/>
    <w:rsid w:val="005B6454"/>
    <w:rsid w:val="005B6761"/>
    <w:rsid w:val="005B6A88"/>
    <w:rsid w:val="005B6B07"/>
    <w:rsid w:val="005B6B85"/>
    <w:rsid w:val="005B6CF4"/>
    <w:rsid w:val="005B6E8E"/>
    <w:rsid w:val="005B6F94"/>
    <w:rsid w:val="005B707C"/>
    <w:rsid w:val="005B728F"/>
    <w:rsid w:val="005B72AD"/>
    <w:rsid w:val="005B7719"/>
    <w:rsid w:val="005B7A17"/>
    <w:rsid w:val="005B7B3B"/>
    <w:rsid w:val="005B7CDE"/>
    <w:rsid w:val="005B7D6E"/>
    <w:rsid w:val="005B7DDD"/>
    <w:rsid w:val="005B7E25"/>
    <w:rsid w:val="005B7F79"/>
    <w:rsid w:val="005C0019"/>
    <w:rsid w:val="005C0135"/>
    <w:rsid w:val="005C0178"/>
    <w:rsid w:val="005C021B"/>
    <w:rsid w:val="005C0254"/>
    <w:rsid w:val="005C02C3"/>
    <w:rsid w:val="005C03A9"/>
    <w:rsid w:val="005C05A3"/>
    <w:rsid w:val="005C05A8"/>
    <w:rsid w:val="005C061B"/>
    <w:rsid w:val="005C063C"/>
    <w:rsid w:val="005C0954"/>
    <w:rsid w:val="005C0B04"/>
    <w:rsid w:val="005C0C31"/>
    <w:rsid w:val="005C0E8B"/>
    <w:rsid w:val="005C0F00"/>
    <w:rsid w:val="005C10BE"/>
    <w:rsid w:val="005C1174"/>
    <w:rsid w:val="005C1179"/>
    <w:rsid w:val="005C118D"/>
    <w:rsid w:val="005C126D"/>
    <w:rsid w:val="005C12A1"/>
    <w:rsid w:val="005C1564"/>
    <w:rsid w:val="005C1621"/>
    <w:rsid w:val="005C1693"/>
    <w:rsid w:val="005C16F8"/>
    <w:rsid w:val="005C1741"/>
    <w:rsid w:val="005C1751"/>
    <w:rsid w:val="005C194B"/>
    <w:rsid w:val="005C19CA"/>
    <w:rsid w:val="005C1AF0"/>
    <w:rsid w:val="005C1B26"/>
    <w:rsid w:val="005C1B28"/>
    <w:rsid w:val="005C1B7F"/>
    <w:rsid w:val="005C1E12"/>
    <w:rsid w:val="005C1EC2"/>
    <w:rsid w:val="005C203A"/>
    <w:rsid w:val="005C20D1"/>
    <w:rsid w:val="005C2503"/>
    <w:rsid w:val="005C2780"/>
    <w:rsid w:val="005C29AD"/>
    <w:rsid w:val="005C2BD4"/>
    <w:rsid w:val="005C2C96"/>
    <w:rsid w:val="005C2E41"/>
    <w:rsid w:val="005C2E8E"/>
    <w:rsid w:val="005C2EF4"/>
    <w:rsid w:val="005C2F40"/>
    <w:rsid w:val="005C3108"/>
    <w:rsid w:val="005C34A1"/>
    <w:rsid w:val="005C35F9"/>
    <w:rsid w:val="005C36E8"/>
    <w:rsid w:val="005C3C40"/>
    <w:rsid w:val="005C3FD4"/>
    <w:rsid w:val="005C3FDE"/>
    <w:rsid w:val="005C408E"/>
    <w:rsid w:val="005C4100"/>
    <w:rsid w:val="005C4178"/>
    <w:rsid w:val="005C4269"/>
    <w:rsid w:val="005C4276"/>
    <w:rsid w:val="005C427E"/>
    <w:rsid w:val="005C44D0"/>
    <w:rsid w:val="005C47BE"/>
    <w:rsid w:val="005C48FA"/>
    <w:rsid w:val="005C4A5F"/>
    <w:rsid w:val="005C4CB0"/>
    <w:rsid w:val="005C4CC9"/>
    <w:rsid w:val="005C4E0F"/>
    <w:rsid w:val="005C4FCD"/>
    <w:rsid w:val="005C4FEE"/>
    <w:rsid w:val="005C503D"/>
    <w:rsid w:val="005C53A2"/>
    <w:rsid w:val="005C5416"/>
    <w:rsid w:val="005C54B5"/>
    <w:rsid w:val="005C54DF"/>
    <w:rsid w:val="005C57BE"/>
    <w:rsid w:val="005C5A88"/>
    <w:rsid w:val="005C5E22"/>
    <w:rsid w:val="005C60B4"/>
    <w:rsid w:val="005C62E6"/>
    <w:rsid w:val="005C630B"/>
    <w:rsid w:val="005C65B3"/>
    <w:rsid w:val="005C674F"/>
    <w:rsid w:val="005C6812"/>
    <w:rsid w:val="005C68FB"/>
    <w:rsid w:val="005C6B4B"/>
    <w:rsid w:val="005C6C7D"/>
    <w:rsid w:val="005C6CBC"/>
    <w:rsid w:val="005C6E75"/>
    <w:rsid w:val="005C703D"/>
    <w:rsid w:val="005C733D"/>
    <w:rsid w:val="005C7560"/>
    <w:rsid w:val="005C75AE"/>
    <w:rsid w:val="005C780C"/>
    <w:rsid w:val="005C7BAB"/>
    <w:rsid w:val="005C7D07"/>
    <w:rsid w:val="005C7DCE"/>
    <w:rsid w:val="005C7F49"/>
    <w:rsid w:val="005D00B0"/>
    <w:rsid w:val="005D0157"/>
    <w:rsid w:val="005D037A"/>
    <w:rsid w:val="005D041F"/>
    <w:rsid w:val="005D0433"/>
    <w:rsid w:val="005D0561"/>
    <w:rsid w:val="005D06B3"/>
    <w:rsid w:val="005D0706"/>
    <w:rsid w:val="005D0AA7"/>
    <w:rsid w:val="005D0AEB"/>
    <w:rsid w:val="005D0B61"/>
    <w:rsid w:val="005D0BD0"/>
    <w:rsid w:val="005D0C65"/>
    <w:rsid w:val="005D0D88"/>
    <w:rsid w:val="005D0F58"/>
    <w:rsid w:val="005D10A1"/>
    <w:rsid w:val="005D12CD"/>
    <w:rsid w:val="005D16DE"/>
    <w:rsid w:val="005D193C"/>
    <w:rsid w:val="005D1C00"/>
    <w:rsid w:val="005D1F9E"/>
    <w:rsid w:val="005D1FDA"/>
    <w:rsid w:val="005D236B"/>
    <w:rsid w:val="005D2435"/>
    <w:rsid w:val="005D2562"/>
    <w:rsid w:val="005D273B"/>
    <w:rsid w:val="005D2A06"/>
    <w:rsid w:val="005D2A50"/>
    <w:rsid w:val="005D2D56"/>
    <w:rsid w:val="005D2E33"/>
    <w:rsid w:val="005D319D"/>
    <w:rsid w:val="005D338C"/>
    <w:rsid w:val="005D3411"/>
    <w:rsid w:val="005D370A"/>
    <w:rsid w:val="005D38C4"/>
    <w:rsid w:val="005D3937"/>
    <w:rsid w:val="005D3BCE"/>
    <w:rsid w:val="005D3FEF"/>
    <w:rsid w:val="005D4029"/>
    <w:rsid w:val="005D4232"/>
    <w:rsid w:val="005D436A"/>
    <w:rsid w:val="005D4935"/>
    <w:rsid w:val="005D4E85"/>
    <w:rsid w:val="005D4EE2"/>
    <w:rsid w:val="005D4F1B"/>
    <w:rsid w:val="005D4F8E"/>
    <w:rsid w:val="005D5029"/>
    <w:rsid w:val="005D507F"/>
    <w:rsid w:val="005D51A9"/>
    <w:rsid w:val="005D52F0"/>
    <w:rsid w:val="005D54A8"/>
    <w:rsid w:val="005D5E94"/>
    <w:rsid w:val="005D5FB6"/>
    <w:rsid w:val="005D5FD7"/>
    <w:rsid w:val="005D624F"/>
    <w:rsid w:val="005D6558"/>
    <w:rsid w:val="005D6873"/>
    <w:rsid w:val="005D68CF"/>
    <w:rsid w:val="005D6EBB"/>
    <w:rsid w:val="005D6F4B"/>
    <w:rsid w:val="005D7167"/>
    <w:rsid w:val="005D7234"/>
    <w:rsid w:val="005D755E"/>
    <w:rsid w:val="005D75DB"/>
    <w:rsid w:val="005D7997"/>
    <w:rsid w:val="005D7B1E"/>
    <w:rsid w:val="005D7DF1"/>
    <w:rsid w:val="005E0054"/>
    <w:rsid w:val="005E016B"/>
    <w:rsid w:val="005E02BB"/>
    <w:rsid w:val="005E03CC"/>
    <w:rsid w:val="005E04D7"/>
    <w:rsid w:val="005E076D"/>
    <w:rsid w:val="005E0824"/>
    <w:rsid w:val="005E0938"/>
    <w:rsid w:val="005E0F83"/>
    <w:rsid w:val="005E1183"/>
    <w:rsid w:val="005E11B2"/>
    <w:rsid w:val="005E13CE"/>
    <w:rsid w:val="005E1410"/>
    <w:rsid w:val="005E1686"/>
    <w:rsid w:val="005E19CE"/>
    <w:rsid w:val="005E1C66"/>
    <w:rsid w:val="005E1D2B"/>
    <w:rsid w:val="005E2173"/>
    <w:rsid w:val="005E24AC"/>
    <w:rsid w:val="005E263C"/>
    <w:rsid w:val="005E296E"/>
    <w:rsid w:val="005E2F15"/>
    <w:rsid w:val="005E317C"/>
    <w:rsid w:val="005E339D"/>
    <w:rsid w:val="005E345B"/>
    <w:rsid w:val="005E34B5"/>
    <w:rsid w:val="005E3529"/>
    <w:rsid w:val="005E3876"/>
    <w:rsid w:val="005E39B8"/>
    <w:rsid w:val="005E3BB5"/>
    <w:rsid w:val="005E3D70"/>
    <w:rsid w:val="005E3DA6"/>
    <w:rsid w:val="005E3FA1"/>
    <w:rsid w:val="005E4092"/>
    <w:rsid w:val="005E4155"/>
    <w:rsid w:val="005E459D"/>
    <w:rsid w:val="005E46A7"/>
    <w:rsid w:val="005E4948"/>
    <w:rsid w:val="005E50F4"/>
    <w:rsid w:val="005E5145"/>
    <w:rsid w:val="005E55CF"/>
    <w:rsid w:val="005E59DD"/>
    <w:rsid w:val="005E5B2A"/>
    <w:rsid w:val="005E5E77"/>
    <w:rsid w:val="005E5FF6"/>
    <w:rsid w:val="005E6039"/>
    <w:rsid w:val="005E60D4"/>
    <w:rsid w:val="005E61FB"/>
    <w:rsid w:val="005E62E7"/>
    <w:rsid w:val="005E636B"/>
    <w:rsid w:val="005E648C"/>
    <w:rsid w:val="005E65C6"/>
    <w:rsid w:val="005E6648"/>
    <w:rsid w:val="005E66BC"/>
    <w:rsid w:val="005E673A"/>
    <w:rsid w:val="005E694E"/>
    <w:rsid w:val="005E6991"/>
    <w:rsid w:val="005E6BFB"/>
    <w:rsid w:val="005E6CC2"/>
    <w:rsid w:val="005E6FB1"/>
    <w:rsid w:val="005E704C"/>
    <w:rsid w:val="005E74BF"/>
    <w:rsid w:val="005E76D1"/>
    <w:rsid w:val="005E7877"/>
    <w:rsid w:val="005E79DE"/>
    <w:rsid w:val="005E7C53"/>
    <w:rsid w:val="005E7EAB"/>
    <w:rsid w:val="005E7EE4"/>
    <w:rsid w:val="005E7F29"/>
    <w:rsid w:val="005F00DB"/>
    <w:rsid w:val="005F0398"/>
    <w:rsid w:val="005F075E"/>
    <w:rsid w:val="005F080E"/>
    <w:rsid w:val="005F0911"/>
    <w:rsid w:val="005F0998"/>
    <w:rsid w:val="005F0B58"/>
    <w:rsid w:val="005F0B8F"/>
    <w:rsid w:val="005F0D77"/>
    <w:rsid w:val="005F0E9A"/>
    <w:rsid w:val="005F0EE5"/>
    <w:rsid w:val="005F10D0"/>
    <w:rsid w:val="005F12D5"/>
    <w:rsid w:val="005F1678"/>
    <w:rsid w:val="005F197A"/>
    <w:rsid w:val="005F1AAE"/>
    <w:rsid w:val="005F1AC7"/>
    <w:rsid w:val="005F1CCF"/>
    <w:rsid w:val="005F1E03"/>
    <w:rsid w:val="005F21C1"/>
    <w:rsid w:val="005F224A"/>
    <w:rsid w:val="005F23F9"/>
    <w:rsid w:val="005F2837"/>
    <w:rsid w:val="005F290F"/>
    <w:rsid w:val="005F2A64"/>
    <w:rsid w:val="005F2B16"/>
    <w:rsid w:val="005F2D03"/>
    <w:rsid w:val="005F2D04"/>
    <w:rsid w:val="005F2D1F"/>
    <w:rsid w:val="005F2D85"/>
    <w:rsid w:val="005F2F20"/>
    <w:rsid w:val="005F31A3"/>
    <w:rsid w:val="005F352A"/>
    <w:rsid w:val="005F3756"/>
    <w:rsid w:val="005F3853"/>
    <w:rsid w:val="005F39CB"/>
    <w:rsid w:val="005F3FE4"/>
    <w:rsid w:val="005F4067"/>
    <w:rsid w:val="005F4164"/>
    <w:rsid w:val="005F42AE"/>
    <w:rsid w:val="005F44AD"/>
    <w:rsid w:val="005F46B5"/>
    <w:rsid w:val="005F483B"/>
    <w:rsid w:val="005F48DC"/>
    <w:rsid w:val="005F4A06"/>
    <w:rsid w:val="005F4C62"/>
    <w:rsid w:val="005F4D2B"/>
    <w:rsid w:val="005F51DF"/>
    <w:rsid w:val="005F5897"/>
    <w:rsid w:val="005F58AC"/>
    <w:rsid w:val="005F5982"/>
    <w:rsid w:val="005F5BAD"/>
    <w:rsid w:val="005F5DF3"/>
    <w:rsid w:val="005F5F67"/>
    <w:rsid w:val="005F6046"/>
    <w:rsid w:val="005F6153"/>
    <w:rsid w:val="005F6363"/>
    <w:rsid w:val="005F640C"/>
    <w:rsid w:val="005F64FD"/>
    <w:rsid w:val="005F65EE"/>
    <w:rsid w:val="005F65F5"/>
    <w:rsid w:val="005F6603"/>
    <w:rsid w:val="005F69A8"/>
    <w:rsid w:val="005F70F1"/>
    <w:rsid w:val="005F727C"/>
    <w:rsid w:val="005F7385"/>
    <w:rsid w:val="005F7447"/>
    <w:rsid w:val="005F77EE"/>
    <w:rsid w:val="005F7B45"/>
    <w:rsid w:val="005F7BE8"/>
    <w:rsid w:val="005F7D67"/>
    <w:rsid w:val="005F7D8D"/>
    <w:rsid w:val="005F7E87"/>
    <w:rsid w:val="005F7F14"/>
    <w:rsid w:val="005F7F36"/>
    <w:rsid w:val="005F7F98"/>
    <w:rsid w:val="00600037"/>
    <w:rsid w:val="006000E4"/>
    <w:rsid w:val="00600167"/>
    <w:rsid w:val="0060024B"/>
    <w:rsid w:val="00600386"/>
    <w:rsid w:val="006009D9"/>
    <w:rsid w:val="00600A0D"/>
    <w:rsid w:val="00600BED"/>
    <w:rsid w:val="00600D7B"/>
    <w:rsid w:val="00600ECC"/>
    <w:rsid w:val="0060101F"/>
    <w:rsid w:val="0060112A"/>
    <w:rsid w:val="006016DB"/>
    <w:rsid w:val="006016DF"/>
    <w:rsid w:val="0060183A"/>
    <w:rsid w:val="00601E31"/>
    <w:rsid w:val="00601EAE"/>
    <w:rsid w:val="006020BE"/>
    <w:rsid w:val="0060212F"/>
    <w:rsid w:val="006021C0"/>
    <w:rsid w:val="00602374"/>
    <w:rsid w:val="0060263E"/>
    <w:rsid w:val="00602BA9"/>
    <w:rsid w:val="00602D16"/>
    <w:rsid w:val="00602EEF"/>
    <w:rsid w:val="00603029"/>
    <w:rsid w:val="00603167"/>
    <w:rsid w:val="00603194"/>
    <w:rsid w:val="00603235"/>
    <w:rsid w:val="0060348D"/>
    <w:rsid w:val="00603590"/>
    <w:rsid w:val="00603898"/>
    <w:rsid w:val="00603C14"/>
    <w:rsid w:val="00603CCE"/>
    <w:rsid w:val="00603ED0"/>
    <w:rsid w:val="00603ED7"/>
    <w:rsid w:val="00603EEF"/>
    <w:rsid w:val="00603F35"/>
    <w:rsid w:val="006040B1"/>
    <w:rsid w:val="006040BF"/>
    <w:rsid w:val="0060412F"/>
    <w:rsid w:val="00604823"/>
    <w:rsid w:val="0060487B"/>
    <w:rsid w:val="006048F7"/>
    <w:rsid w:val="006049D7"/>
    <w:rsid w:val="00605089"/>
    <w:rsid w:val="0060527B"/>
    <w:rsid w:val="006052A1"/>
    <w:rsid w:val="00605468"/>
    <w:rsid w:val="006054F1"/>
    <w:rsid w:val="006054F9"/>
    <w:rsid w:val="0060567B"/>
    <w:rsid w:val="00605C4A"/>
    <w:rsid w:val="00605D25"/>
    <w:rsid w:val="00605D2D"/>
    <w:rsid w:val="00605D8E"/>
    <w:rsid w:val="00606118"/>
    <w:rsid w:val="006061CE"/>
    <w:rsid w:val="0060649B"/>
    <w:rsid w:val="0060658C"/>
    <w:rsid w:val="00606748"/>
    <w:rsid w:val="006067E2"/>
    <w:rsid w:val="00606CF2"/>
    <w:rsid w:val="00606EB6"/>
    <w:rsid w:val="0060707F"/>
    <w:rsid w:val="006070D6"/>
    <w:rsid w:val="0060745C"/>
    <w:rsid w:val="0060759D"/>
    <w:rsid w:val="00607676"/>
    <w:rsid w:val="00607855"/>
    <w:rsid w:val="00607944"/>
    <w:rsid w:val="00607998"/>
    <w:rsid w:val="00607AD0"/>
    <w:rsid w:val="00607C94"/>
    <w:rsid w:val="00607CC3"/>
    <w:rsid w:val="00607D37"/>
    <w:rsid w:val="00610188"/>
    <w:rsid w:val="0061058A"/>
    <w:rsid w:val="00610658"/>
    <w:rsid w:val="006107D6"/>
    <w:rsid w:val="00610F1E"/>
    <w:rsid w:val="00611117"/>
    <w:rsid w:val="006114D7"/>
    <w:rsid w:val="00611C80"/>
    <w:rsid w:val="00611D2F"/>
    <w:rsid w:val="00611E01"/>
    <w:rsid w:val="00611FBD"/>
    <w:rsid w:val="0061201F"/>
    <w:rsid w:val="0061241F"/>
    <w:rsid w:val="00612675"/>
    <w:rsid w:val="00612958"/>
    <w:rsid w:val="00612D8E"/>
    <w:rsid w:val="00612FA7"/>
    <w:rsid w:val="00613115"/>
    <w:rsid w:val="00613145"/>
    <w:rsid w:val="00613615"/>
    <w:rsid w:val="0061366B"/>
    <w:rsid w:val="0061383D"/>
    <w:rsid w:val="006138C3"/>
    <w:rsid w:val="00613964"/>
    <w:rsid w:val="006139AE"/>
    <w:rsid w:val="00613AB5"/>
    <w:rsid w:val="00613D90"/>
    <w:rsid w:val="00613EAE"/>
    <w:rsid w:val="00614668"/>
    <w:rsid w:val="006146AB"/>
    <w:rsid w:val="006149F9"/>
    <w:rsid w:val="00614B38"/>
    <w:rsid w:val="00614C60"/>
    <w:rsid w:val="00614E99"/>
    <w:rsid w:val="00615014"/>
    <w:rsid w:val="0061504B"/>
    <w:rsid w:val="0061506D"/>
    <w:rsid w:val="0061514E"/>
    <w:rsid w:val="00615318"/>
    <w:rsid w:val="0061539F"/>
    <w:rsid w:val="0061548F"/>
    <w:rsid w:val="006154BF"/>
    <w:rsid w:val="00615644"/>
    <w:rsid w:val="006156FD"/>
    <w:rsid w:val="00615732"/>
    <w:rsid w:val="00615743"/>
    <w:rsid w:val="006157F0"/>
    <w:rsid w:val="006159A5"/>
    <w:rsid w:val="00615DD1"/>
    <w:rsid w:val="00615EF0"/>
    <w:rsid w:val="00615F01"/>
    <w:rsid w:val="00616496"/>
    <w:rsid w:val="00616499"/>
    <w:rsid w:val="00616503"/>
    <w:rsid w:val="00616583"/>
    <w:rsid w:val="00616660"/>
    <w:rsid w:val="00616689"/>
    <w:rsid w:val="006166DE"/>
    <w:rsid w:val="0061671F"/>
    <w:rsid w:val="006167E3"/>
    <w:rsid w:val="00616B41"/>
    <w:rsid w:val="00616B6E"/>
    <w:rsid w:val="00616BAB"/>
    <w:rsid w:val="00616D11"/>
    <w:rsid w:val="00617118"/>
    <w:rsid w:val="00617268"/>
    <w:rsid w:val="00617278"/>
    <w:rsid w:val="00617301"/>
    <w:rsid w:val="00617515"/>
    <w:rsid w:val="0061755E"/>
    <w:rsid w:val="00617623"/>
    <w:rsid w:val="00617688"/>
    <w:rsid w:val="00617697"/>
    <w:rsid w:val="006176BE"/>
    <w:rsid w:val="00617784"/>
    <w:rsid w:val="006178A4"/>
    <w:rsid w:val="00617D49"/>
    <w:rsid w:val="00617D55"/>
    <w:rsid w:val="00617E85"/>
    <w:rsid w:val="00617ED5"/>
    <w:rsid w:val="006201BE"/>
    <w:rsid w:val="00620402"/>
    <w:rsid w:val="006206F4"/>
    <w:rsid w:val="00620826"/>
    <w:rsid w:val="0062082C"/>
    <w:rsid w:val="00620839"/>
    <w:rsid w:val="00620D0C"/>
    <w:rsid w:val="00620E70"/>
    <w:rsid w:val="00620F79"/>
    <w:rsid w:val="00621139"/>
    <w:rsid w:val="00621146"/>
    <w:rsid w:val="006211CC"/>
    <w:rsid w:val="00621206"/>
    <w:rsid w:val="006212EB"/>
    <w:rsid w:val="006219F4"/>
    <w:rsid w:val="00621A48"/>
    <w:rsid w:val="00621B7F"/>
    <w:rsid w:val="00621BD7"/>
    <w:rsid w:val="00621DA0"/>
    <w:rsid w:val="006220C0"/>
    <w:rsid w:val="00622175"/>
    <w:rsid w:val="00622365"/>
    <w:rsid w:val="0062261B"/>
    <w:rsid w:val="00622816"/>
    <w:rsid w:val="00622999"/>
    <w:rsid w:val="00622BC2"/>
    <w:rsid w:val="00622C65"/>
    <w:rsid w:val="00623002"/>
    <w:rsid w:val="0062315D"/>
    <w:rsid w:val="006231DD"/>
    <w:rsid w:val="0062336C"/>
    <w:rsid w:val="006234B3"/>
    <w:rsid w:val="006235E0"/>
    <w:rsid w:val="00623AA7"/>
    <w:rsid w:val="00623F51"/>
    <w:rsid w:val="00624027"/>
    <w:rsid w:val="00624132"/>
    <w:rsid w:val="00624193"/>
    <w:rsid w:val="00624207"/>
    <w:rsid w:val="00624277"/>
    <w:rsid w:val="006244DB"/>
    <w:rsid w:val="006245F0"/>
    <w:rsid w:val="0062473E"/>
    <w:rsid w:val="00624865"/>
    <w:rsid w:val="006248A7"/>
    <w:rsid w:val="006249E2"/>
    <w:rsid w:val="00624A62"/>
    <w:rsid w:val="00624ABD"/>
    <w:rsid w:val="00624B34"/>
    <w:rsid w:val="00625252"/>
    <w:rsid w:val="00625390"/>
    <w:rsid w:val="006253B7"/>
    <w:rsid w:val="006253E8"/>
    <w:rsid w:val="00625710"/>
    <w:rsid w:val="006258EB"/>
    <w:rsid w:val="00625A06"/>
    <w:rsid w:val="00625BF6"/>
    <w:rsid w:val="00625C30"/>
    <w:rsid w:val="00625D17"/>
    <w:rsid w:val="00625D8D"/>
    <w:rsid w:val="00625E01"/>
    <w:rsid w:val="00625E74"/>
    <w:rsid w:val="00625F49"/>
    <w:rsid w:val="006264BF"/>
    <w:rsid w:val="00626560"/>
    <w:rsid w:val="00626574"/>
    <w:rsid w:val="00626658"/>
    <w:rsid w:val="00626684"/>
    <w:rsid w:val="00626688"/>
    <w:rsid w:val="00626819"/>
    <w:rsid w:val="00626B61"/>
    <w:rsid w:val="00626CD2"/>
    <w:rsid w:val="00626E20"/>
    <w:rsid w:val="00626F7E"/>
    <w:rsid w:val="00627007"/>
    <w:rsid w:val="006270AB"/>
    <w:rsid w:val="006270DA"/>
    <w:rsid w:val="00627383"/>
    <w:rsid w:val="006273FD"/>
    <w:rsid w:val="0062749C"/>
    <w:rsid w:val="0062751C"/>
    <w:rsid w:val="006277A4"/>
    <w:rsid w:val="006277C6"/>
    <w:rsid w:val="0062786F"/>
    <w:rsid w:val="0062798F"/>
    <w:rsid w:val="00627D97"/>
    <w:rsid w:val="00627F6A"/>
    <w:rsid w:val="0063019C"/>
    <w:rsid w:val="00630441"/>
    <w:rsid w:val="006306CA"/>
    <w:rsid w:val="006309F7"/>
    <w:rsid w:val="00630EF0"/>
    <w:rsid w:val="00630F1B"/>
    <w:rsid w:val="00631392"/>
    <w:rsid w:val="006313DF"/>
    <w:rsid w:val="0063141A"/>
    <w:rsid w:val="00631600"/>
    <w:rsid w:val="00631620"/>
    <w:rsid w:val="00631781"/>
    <w:rsid w:val="0063194C"/>
    <w:rsid w:val="0063195D"/>
    <w:rsid w:val="00631A85"/>
    <w:rsid w:val="00631ED2"/>
    <w:rsid w:val="006321F1"/>
    <w:rsid w:val="006322A3"/>
    <w:rsid w:val="00632525"/>
    <w:rsid w:val="0063263F"/>
    <w:rsid w:val="006326D5"/>
    <w:rsid w:val="00632820"/>
    <w:rsid w:val="00632B79"/>
    <w:rsid w:val="00632D32"/>
    <w:rsid w:val="00632DCF"/>
    <w:rsid w:val="00632E83"/>
    <w:rsid w:val="00632E8A"/>
    <w:rsid w:val="006330AD"/>
    <w:rsid w:val="00633118"/>
    <w:rsid w:val="006332C2"/>
    <w:rsid w:val="0063345E"/>
    <w:rsid w:val="00633642"/>
    <w:rsid w:val="00633DA5"/>
    <w:rsid w:val="00633E13"/>
    <w:rsid w:val="00633F81"/>
    <w:rsid w:val="006340E9"/>
    <w:rsid w:val="00634678"/>
    <w:rsid w:val="006347C5"/>
    <w:rsid w:val="00634A7D"/>
    <w:rsid w:val="00634D28"/>
    <w:rsid w:val="00634D8B"/>
    <w:rsid w:val="00634D9F"/>
    <w:rsid w:val="00634DA1"/>
    <w:rsid w:val="00634E04"/>
    <w:rsid w:val="00634FEC"/>
    <w:rsid w:val="0063507A"/>
    <w:rsid w:val="00635118"/>
    <w:rsid w:val="00635396"/>
    <w:rsid w:val="00635678"/>
    <w:rsid w:val="006357D9"/>
    <w:rsid w:val="006357E8"/>
    <w:rsid w:val="0063584D"/>
    <w:rsid w:val="00635942"/>
    <w:rsid w:val="006359DC"/>
    <w:rsid w:val="00635A1F"/>
    <w:rsid w:val="00635C2B"/>
    <w:rsid w:val="00635E49"/>
    <w:rsid w:val="00635E9B"/>
    <w:rsid w:val="00636111"/>
    <w:rsid w:val="00636137"/>
    <w:rsid w:val="006363B0"/>
    <w:rsid w:val="0063647E"/>
    <w:rsid w:val="00636504"/>
    <w:rsid w:val="00636591"/>
    <w:rsid w:val="006365FB"/>
    <w:rsid w:val="0063673C"/>
    <w:rsid w:val="006369C1"/>
    <w:rsid w:val="00636B22"/>
    <w:rsid w:val="00636ED5"/>
    <w:rsid w:val="00637077"/>
    <w:rsid w:val="006371C4"/>
    <w:rsid w:val="0063725D"/>
    <w:rsid w:val="006373CE"/>
    <w:rsid w:val="00637546"/>
    <w:rsid w:val="006376B2"/>
    <w:rsid w:val="00637786"/>
    <w:rsid w:val="0063779F"/>
    <w:rsid w:val="006378D5"/>
    <w:rsid w:val="00637E70"/>
    <w:rsid w:val="00640181"/>
    <w:rsid w:val="006402EF"/>
    <w:rsid w:val="0064048A"/>
    <w:rsid w:val="006406AE"/>
    <w:rsid w:val="00640981"/>
    <w:rsid w:val="00640A93"/>
    <w:rsid w:val="00640B0C"/>
    <w:rsid w:val="00640F90"/>
    <w:rsid w:val="00640FE8"/>
    <w:rsid w:val="006410CD"/>
    <w:rsid w:val="00641205"/>
    <w:rsid w:val="0064138B"/>
    <w:rsid w:val="00641457"/>
    <w:rsid w:val="006414E2"/>
    <w:rsid w:val="00641745"/>
    <w:rsid w:val="00641752"/>
    <w:rsid w:val="00641883"/>
    <w:rsid w:val="006419B3"/>
    <w:rsid w:val="00642096"/>
    <w:rsid w:val="00642160"/>
    <w:rsid w:val="0064227D"/>
    <w:rsid w:val="00642299"/>
    <w:rsid w:val="00642836"/>
    <w:rsid w:val="00642992"/>
    <w:rsid w:val="00642996"/>
    <w:rsid w:val="00642AC1"/>
    <w:rsid w:val="00642BBE"/>
    <w:rsid w:val="00642D1F"/>
    <w:rsid w:val="00642D36"/>
    <w:rsid w:val="00642D90"/>
    <w:rsid w:val="00643219"/>
    <w:rsid w:val="006436D5"/>
    <w:rsid w:val="00643818"/>
    <w:rsid w:val="00643937"/>
    <w:rsid w:val="00643B68"/>
    <w:rsid w:val="00643D2E"/>
    <w:rsid w:val="00643E15"/>
    <w:rsid w:val="006444F4"/>
    <w:rsid w:val="006446CB"/>
    <w:rsid w:val="006446D6"/>
    <w:rsid w:val="00644960"/>
    <w:rsid w:val="00644D11"/>
    <w:rsid w:val="00644E99"/>
    <w:rsid w:val="00644F81"/>
    <w:rsid w:val="0064510C"/>
    <w:rsid w:val="006451EA"/>
    <w:rsid w:val="0064520E"/>
    <w:rsid w:val="0064523A"/>
    <w:rsid w:val="006452F5"/>
    <w:rsid w:val="00645684"/>
    <w:rsid w:val="00645889"/>
    <w:rsid w:val="00645DA2"/>
    <w:rsid w:val="0064612C"/>
    <w:rsid w:val="006462C6"/>
    <w:rsid w:val="006462DA"/>
    <w:rsid w:val="006467CF"/>
    <w:rsid w:val="00646B78"/>
    <w:rsid w:val="00646BA7"/>
    <w:rsid w:val="00646C75"/>
    <w:rsid w:val="00646E52"/>
    <w:rsid w:val="00647439"/>
    <w:rsid w:val="00647594"/>
    <w:rsid w:val="00647DE7"/>
    <w:rsid w:val="00647FCC"/>
    <w:rsid w:val="006500D9"/>
    <w:rsid w:val="0065037A"/>
    <w:rsid w:val="00650633"/>
    <w:rsid w:val="006506AE"/>
    <w:rsid w:val="0065079E"/>
    <w:rsid w:val="006507A0"/>
    <w:rsid w:val="006509E2"/>
    <w:rsid w:val="00650ADE"/>
    <w:rsid w:val="00650CC2"/>
    <w:rsid w:val="00650DE5"/>
    <w:rsid w:val="00650E93"/>
    <w:rsid w:val="006512B3"/>
    <w:rsid w:val="006513BF"/>
    <w:rsid w:val="00651451"/>
    <w:rsid w:val="006516B0"/>
    <w:rsid w:val="00651EB9"/>
    <w:rsid w:val="00651EF9"/>
    <w:rsid w:val="00651F02"/>
    <w:rsid w:val="00651FD4"/>
    <w:rsid w:val="00652194"/>
    <w:rsid w:val="00652848"/>
    <w:rsid w:val="00652955"/>
    <w:rsid w:val="00652A5D"/>
    <w:rsid w:val="00652BE2"/>
    <w:rsid w:val="00652D75"/>
    <w:rsid w:val="00652EC6"/>
    <w:rsid w:val="0065310D"/>
    <w:rsid w:val="006532A2"/>
    <w:rsid w:val="0065331E"/>
    <w:rsid w:val="0065341B"/>
    <w:rsid w:val="0065362E"/>
    <w:rsid w:val="0065363F"/>
    <w:rsid w:val="00653834"/>
    <w:rsid w:val="006538CC"/>
    <w:rsid w:val="00653D36"/>
    <w:rsid w:val="00653E86"/>
    <w:rsid w:val="00654009"/>
    <w:rsid w:val="006542FC"/>
    <w:rsid w:val="00654333"/>
    <w:rsid w:val="00654376"/>
    <w:rsid w:val="006546FD"/>
    <w:rsid w:val="0065470F"/>
    <w:rsid w:val="00654BAB"/>
    <w:rsid w:val="00654C48"/>
    <w:rsid w:val="00654C51"/>
    <w:rsid w:val="00654F4C"/>
    <w:rsid w:val="006550F4"/>
    <w:rsid w:val="006551C5"/>
    <w:rsid w:val="00655259"/>
    <w:rsid w:val="006552EF"/>
    <w:rsid w:val="00655311"/>
    <w:rsid w:val="00655539"/>
    <w:rsid w:val="006558AB"/>
    <w:rsid w:val="00655931"/>
    <w:rsid w:val="00655A64"/>
    <w:rsid w:val="00655A6B"/>
    <w:rsid w:val="00655AE1"/>
    <w:rsid w:val="00655C77"/>
    <w:rsid w:val="00655DAF"/>
    <w:rsid w:val="00655EBE"/>
    <w:rsid w:val="0065606F"/>
    <w:rsid w:val="00656255"/>
    <w:rsid w:val="00656283"/>
    <w:rsid w:val="0065631F"/>
    <w:rsid w:val="0065649D"/>
    <w:rsid w:val="006564CC"/>
    <w:rsid w:val="006565FD"/>
    <w:rsid w:val="006566A6"/>
    <w:rsid w:val="006568C0"/>
    <w:rsid w:val="00656A25"/>
    <w:rsid w:val="00656A64"/>
    <w:rsid w:val="00656B22"/>
    <w:rsid w:val="00656C05"/>
    <w:rsid w:val="00656D3B"/>
    <w:rsid w:val="00657128"/>
    <w:rsid w:val="0065714D"/>
    <w:rsid w:val="0065720D"/>
    <w:rsid w:val="0065726D"/>
    <w:rsid w:val="0065727A"/>
    <w:rsid w:val="0065756C"/>
    <w:rsid w:val="0065760D"/>
    <w:rsid w:val="00657768"/>
    <w:rsid w:val="00657B95"/>
    <w:rsid w:val="00657E18"/>
    <w:rsid w:val="006602A4"/>
    <w:rsid w:val="00660495"/>
    <w:rsid w:val="00660632"/>
    <w:rsid w:val="00660AC8"/>
    <w:rsid w:val="00660B80"/>
    <w:rsid w:val="00660D01"/>
    <w:rsid w:val="00660D82"/>
    <w:rsid w:val="006610C8"/>
    <w:rsid w:val="00661307"/>
    <w:rsid w:val="0066136F"/>
    <w:rsid w:val="006613DF"/>
    <w:rsid w:val="00661563"/>
    <w:rsid w:val="00661847"/>
    <w:rsid w:val="00661990"/>
    <w:rsid w:val="006619EE"/>
    <w:rsid w:val="00661D21"/>
    <w:rsid w:val="00661DDA"/>
    <w:rsid w:val="00662268"/>
    <w:rsid w:val="006622BE"/>
    <w:rsid w:val="006623D6"/>
    <w:rsid w:val="0066246D"/>
    <w:rsid w:val="006626FA"/>
    <w:rsid w:val="00662711"/>
    <w:rsid w:val="00662842"/>
    <w:rsid w:val="00662BE4"/>
    <w:rsid w:val="00662CB8"/>
    <w:rsid w:val="00662E0F"/>
    <w:rsid w:val="006631D3"/>
    <w:rsid w:val="00663997"/>
    <w:rsid w:val="00663DF0"/>
    <w:rsid w:val="00663F22"/>
    <w:rsid w:val="00663F23"/>
    <w:rsid w:val="00663FE1"/>
    <w:rsid w:val="006640D5"/>
    <w:rsid w:val="00664127"/>
    <w:rsid w:val="00664306"/>
    <w:rsid w:val="00664315"/>
    <w:rsid w:val="0066441A"/>
    <w:rsid w:val="00664482"/>
    <w:rsid w:val="006645F6"/>
    <w:rsid w:val="006648C8"/>
    <w:rsid w:val="00664CAB"/>
    <w:rsid w:val="00664F40"/>
    <w:rsid w:val="006650D5"/>
    <w:rsid w:val="0066561D"/>
    <w:rsid w:val="006656FA"/>
    <w:rsid w:val="00665873"/>
    <w:rsid w:val="00665984"/>
    <w:rsid w:val="00665D2D"/>
    <w:rsid w:val="00665EF3"/>
    <w:rsid w:val="006661A9"/>
    <w:rsid w:val="0066624C"/>
    <w:rsid w:val="006663CC"/>
    <w:rsid w:val="006665B0"/>
    <w:rsid w:val="0066683D"/>
    <w:rsid w:val="00666A52"/>
    <w:rsid w:val="00666AC3"/>
    <w:rsid w:val="00666ADF"/>
    <w:rsid w:val="00666CCC"/>
    <w:rsid w:val="00666D7B"/>
    <w:rsid w:val="00666F5B"/>
    <w:rsid w:val="00666F90"/>
    <w:rsid w:val="006671C7"/>
    <w:rsid w:val="006671DE"/>
    <w:rsid w:val="006673F1"/>
    <w:rsid w:val="00667669"/>
    <w:rsid w:val="00667799"/>
    <w:rsid w:val="00667850"/>
    <w:rsid w:val="0066789A"/>
    <w:rsid w:val="006679B7"/>
    <w:rsid w:val="00667C0C"/>
    <w:rsid w:val="00667C19"/>
    <w:rsid w:val="00667D79"/>
    <w:rsid w:val="00667DF7"/>
    <w:rsid w:val="00667E39"/>
    <w:rsid w:val="0067001D"/>
    <w:rsid w:val="0067009B"/>
    <w:rsid w:val="00670131"/>
    <w:rsid w:val="0067034C"/>
    <w:rsid w:val="006704A9"/>
    <w:rsid w:val="006708CB"/>
    <w:rsid w:val="00670A63"/>
    <w:rsid w:val="00670B0A"/>
    <w:rsid w:val="00670B32"/>
    <w:rsid w:val="00670E31"/>
    <w:rsid w:val="00670E5A"/>
    <w:rsid w:val="00670F55"/>
    <w:rsid w:val="00671128"/>
    <w:rsid w:val="00671646"/>
    <w:rsid w:val="00671677"/>
    <w:rsid w:val="0067178F"/>
    <w:rsid w:val="00671D16"/>
    <w:rsid w:val="00671D84"/>
    <w:rsid w:val="00671EF8"/>
    <w:rsid w:val="0067218C"/>
    <w:rsid w:val="00672197"/>
    <w:rsid w:val="006721A7"/>
    <w:rsid w:val="00672242"/>
    <w:rsid w:val="0067253F"/>
    <w:rsid w:val="006727E2"/>
    <w:rsid w:val="00672A62"/>
    <w:rsid w:val="00672B8E"/>
    <w:rsid w:val="00672C5B"/>
    <w:rsid w:val="00672C73"/>
    <w:rsid w:val="00672FA2"/>
    <w:rsid w:val="0067346C"/>
    <w:rsid w:val="006738EE"/>
    <w:rsid w:val="00673B23"/>
    <w:rsid w:val="00673D80"/>
    <w:rsid w:val="00674402"/>
    <w:rsid w:val="0067440D"/>
    <w:rsid w:val="00674896"/>
    <w:rsid w:val="00674969"/>
    <w:rsid w:val="00674993"/>
    <w:rsid w:val="00674BFD"/>
    <w:rsid w:val="00674C8B"/>
    <w:rsid w:val="00674D06"/>
    <w:rsid w:val="00674D9E"/>
    <w:rsid w:val="00675068"/>
    <w:rsid w:val="00676182"/>
    <w:rsid w:val="0067638F"/>
    <w:rsid w:val="006766C7"/>
    <w:rsid w:val="00676792"/>
    <w:rsid w:val="006768B8"/>
    <w:rsid w:val="00676A9F"/>
    <w:rsid w:val="00676C80"/>
    <w:rsid w:val="00677021"/>
    <w:rsid w:val="006774FF"/>
    <w:rsid w:val="00677591"/>
    <w:rsid w:val="0067769C"/>
    <w:rsid w:val="00677D45"/>
    <w:rsid w:val="006802C6"/>
    <w:rsid w:val="00680317"/>
    <w:rsid w:val="006803F3"/>
    <w:rsid w:val="00680788"/>
    <w:rsid w:val="00680885"/>
    <w:rsid w:val="00680AF7"/>
    <w:rsid w:val="00680CAE"/>
    <w:rsid w:val="00680EA6"/>
    <w:rsid w:val="00680EBA"/>
    <w:rsid w:val="00680FCD"/>
    <w:rsid w:val="00681150"/>
    <w:rsid w:val="0068117F"/>
    <w:rsid w:val="0068125A"/>
    <w:rsid w:val="006812A0"/>
    <w:rsid w:val="00681447"/>
    <w:rsid w:val="006815D0"/>
    <w:rsid w:val="0068177E"/>
    <w:rsid w:val="0068183C"/>
    <w:rsid w:val="00681874"/>
    <w:rsid w:val="00681AF4"/>
    <w:rsid w:val="00681D89"/>
    <w:rsid w:val="006820A5"/>
    <w:rsid w:val="0068211D"/>
    <w:rsid w:val="0068216D"/>
    <w:rsid w:val="00682177"/>
    <w:rsid w:val="006821D3"/>
    <w:rsid w:val="0068248F"/>
    <w:rsid w:val="00682591"/>
    <w:rsid w:val="006827CB"/>
    <w:rsid w:val="00682932"/>
    <w:rsid w:val="00682964"/>
    <w:rsid w:val="00682A34"/>
    <w:rsid w:val="00682BB7"/>
    <w:rsid w:val="00682C8D"/>
    <w:rsid w:val="00682DA8"/>
    <w:rsid w:val="00682FDE"/>
    <w:rsid w:val="006833E8"/>
    <w:rsid w:val="00683411"/>
    <w:rsid w:val="006836D1"/>
    <w:rsid w:val="0068373A"/>
    <w:rsid w:val="0068391A"/>
    <w:rsid w:val="00683DEF"/>
    <w:rsid w:val="00683EF1"/>
    <w:rsid w:val="00683F15"/>
    <w:rsid w:val="00683FA8"/>
    <w:rsid w:val="00684125"/>
    <w:rsid w:val="0068421C"/>
    <w:rsid w:val="0068421D"/>
    <w:rsid w:val="006844E3"/>
    <w:rsid w:val="00684585"/>
    <w:rsid w:val="00684762"/>
    <w:rsid w:val="0068480A"/>
    <w:rsid w:val="00684A81"/>
    <w:rsid w:val="00684BEA"/>
    <w:rsid w:val="00684C51"/>
    <w:rsid w:val="00684E6F"/>
    <w:rsid w:val="006850FC"/>
    <w:rsid w:val="00685273"/>
    <w:rsid w:val="00685692"/>
    <w:rsid w:val="006858CD"/>
    <w:rsid w:val="0068593F"/>
    <w:rsid w:val="00685AB8"/>
    <w:rsid w:val="00685C2C"/>
    <w:rsid w:val="00685E54"/>
    <w:rsid w:val="00685EFF"/>
    <w:rsid w:val="0068619A"/>
    <w:rsid w:val="00686280"/>
    <w:rsid w:val="00686396"/>
    <w:rsid w:val="00686401"/>
    <w:rsid w:val="00686410"/>
    <w:rsid w:val="00686657"/>
    <w:rsid w:val="006866A4"/>
    <w:rsid w:val="00686798"/>
    <w:rsid w:val="00686A1C"/>
    <w:rsid w:val="00686B60"/>
    <w:rsid w:val="00686E95"/>
    <w:rsid w:val="00687207"/>
    <w:rsid w:val="0068736A"/>
    <w:rsid w:val="0068761D"/>
    <w:rsid w:val="00687CEB"/>
    <w:rsid w:val="00687DA3"/>
    <w:rsid w:val="00687F39"/>
    <w:rsid w:val="00687F65"/>
    <w:rsid w:val="00687F8B"/>
    <w:rsid w:val="00690054"/>
    <w:rsid w:val="00690606"/>
    <w:rsid w:val="00690637"/>
    <w:rsid w:val="00690C3D"/>
    <w:rsid w:val="00691133"/>
    <w:rsid w:val="00691245"/>
    <w:rsid w:val="006913D1"/>
    <w:rsid w:val="006915C6"/>
    <w:rsid w:val="006915F1"/>
    <w:rsid w:val="00691736"/>
    <w:rsid w:val="00691795"/>
    <w:rsid w:val="00691C05"/>
    <w:rsid w:val="00691DC7"/>
    <w:rsid w:val="00691E6E"/>
    <w:rsid w:val="006920B1"/>
    <w:rsid w:val="006920C5"/>
    <w:rsid w:val="0069223B"/>
    <w:rsid w:val="00692251"/>
    <w:rsid w:val="00692283"/>
    <w:rsid w:val="00692297"/>
    <w:rsid w:val="006923CF"/>
    <w:rsid w:val="0069285A"/>
    <w:rsid w:val="006928B6"/>
    <w:rsid w:val="00692994"/>
    <w:rsid w:val="00692ABF"/>
    <w:rsid w:val="00692B6A"/>
    <w:rsid w:val="00692CD4"/>
    <w:rsid w:val="00692E4D"/>
    <w:rsid w:val="00692E88"/>
    <w:rsid w:val="00692F44"/>
    <w:rsid w:val="00693097"/>
    <w:rsid w:val="006930E3"/>
    <w:rsid w:val="0069315F"/>
    <w:rsid w:val="00693193"/>
    <w:rsid w:val="006931CC"/>
    <w:rsid w:val="006932A0"/>
    <w:rsid w:val="0069359A"/>
    <w:rsid w:val="006936EF"/>
    <w:rsid w:val="0069383C"/>
    <w:rsid w:val="00693872"/>
    <w:rsid w:val="00693947"/>
    <w:rsid w:val="00693BED"/>
    <w:rsid w:val="0069400E"/>
    <w:rsid w:val="006942B8"/>
    <w:rsid w:val="006949EC"/>
    <w:rsid w:val="00694C08"/>
    <w:rsid w:val="00694D0F"/>
    <w:rsid w:val="00694D59"/>
    <w:rsid w:val="00695297"/>
    <w:rsid w:val="0069556F"/>
    <w:rsid w:val="0069569B"/>
    <w:rsid w:val="0069575F"/>
    <w:rsid w:val="006957AF"/>
    <w:rsid w:val="006958D2"/>
    <w:rsid w:val="00695A03"/>
    <w:rsid w:val="00695AB1"/>
    <w:rsid w:val="00695EEC"/>
    <w:rsid w:val="0069620B"/>
    <w:rsid w:val="0069633B"/>
    <w:rsid w:val="006965D8"/>
    <w:rsid w:val="00696628"/>
    <w:rsid w:val="006967FC"/>
    <w:rsid w:val="006969BE"/>
    <w:rsid w:val="00696A02"/>
    <w:rsid w:val="00696A91"/>
    <w:rsid w:val="00696E0C"/>
    <w:rsid w:val="00696FC8"/>
    <w:rsid w:val="0069705E"/>
    <w:rsid w:val="0069731C"/>
    <w:rsid w:val="0069765A"/>
    <w:rsid w:val="0069768D"/>
    <w:rsid w:val="00697724"/>
    <w:rsid w:val="006A0163"/>
    <w:rsid w:val="006A01AA"/>
    <w:rsid w:val="006A0903"/>
    <w:rsid w:val="006A0CBC"/>
    <w:rsid w:val="006A0EA3"/>
    <w:rsid w:val="006A0FFF"/>
    <w:rsid w:val="006A1303"/>
    <w:rsid w:val="006A134D"/>
    <w:rsid w:val="006A13A5"/>
    <w:rsid w:val="006A13BD"/>
    <w:rsid w:val="006A177B"/>
    <w:rsid w:val="006A17D4"/>
    <w:rsid w:val="006A1813"/>
    <w:rsid w:val="006A19D9"/>
    <w:rsid w:val="006A1B0C"/>
    <w:rsid w:val="006A1B41"/>
    <w:rsid w:val="006A1CAA"/>
    <w:rsid w:val="006A1E6F"/>
    <w:rsid w:val="006A2130"/>
    <w:rsid w:val="006A225C"/>
    <w:rsid w:val="006A2359"/>
    <w:rsid w:val="006A2514"/>
    <w:rsid w:val="006A25A4"/>
    <w:rsid w:val="006A2829"/>
    <w:rsid w:val="006A2C99"/>
    <w:rsid w:val="006A2CD8"/>
    <w:rsid w:val="006A2DE7"/>
    <w:rsid w:val="006A2E9D"/>
    <w:rsid w:val="006A312E"/>
    <w:rsid w:val="006A324A"/>
    <w:rsid w:val="006A3567"/>
    <w:rsid w:val="006A3762"/>
    <w:rsid w:val="006A3985"/>
    <w:rsid w:val="006A3D9E"/>
    <w:rsid w:val="006A4114"/>
    <w:rsid w:val="006A43B1"/>
    <w:rsid w:val="006A4405"/>
    <w:rsid w:val="006A46C1"/>
    <w:rsid w:val="006A477C"/>
    <w:rsid w:val="006A47E6"/>
    <w:rsid w:val="006A4B56"/>
    <w:rsid w:val="006A4C77"/>
    <w:rsid w:val="006A4FB0"/>
    <w:rsid w:val="006A525F"/>
    <w:rsid w:val="006A527A"/>
    <w:rsid w:val="006A556A"/>
    <w:rsid w:val="006A56BC"/>
    <w:rsid w:val="006A580A"/>
    <w:rsid w:val="006A5827"/>
    <w:rsid w:val="006A58DF"/>
    <w:rsid w:val="006A59C1"/>
    <w:rsid w:val="006A5A02"/>
    <w:rsid w:val="006A5E84"/>
    <w:rsid w:val="006A5EB7"/>
    <w:rsid w:val="006A5F3C"/>
    <w:rsid w:val="006A5FC6"/>
    <w:rsid w:val="006A6172"/>
    <w:rsid w:val="006A6277"/>
    <w:rsid w:val="006A627C"/>
    <w:rsid w:val="006A63ED"/>
    <w:rsid w:val="006A651B"/>
    <w:rsid w:val="006A65C6"/>
    <w:rsid w:val="006A6688"/>
    <w:rsid w:val="006A6B4D"/>
    <w:rsid w:val="006A6FB3"/>
    <w:rsid w:val="006A7178"/>
    <w:rsid w:val="006A7505"/>
    <w:rsid w:val="006A76C0"/>
    <w:rsid w:val="006A7731"/>
    <w:rsid w:val="006A7892"/>
    <w:rsid w:val="006A7A8A"/>
    <w:rsid w:val="006A7B50"/>
    <w:rsid w:val="006A7C5C"/>
    <w:rsid w:val="006A7CAC"/>
    <w:rsid w:val="006B065F"/>
    <w:rsid w:val="006B06C1"/>
    <w:rsid w:val="006B06D2"/>
    <w:rsid w:val="006B0847"/>
    <w:rsid w:val="006B09CD"/>
    <w:rsid w:val="006B0D1F"/>
    <w:rsid w:val="006B0F93"/>
    <w:rsid w:val="006B0F9D"/>
    <w:rsid w:val="006B10DA"/>
    <w:rsid w:val="006B1187"/>
    <w:rsid w:val="006B131C"/>
    <w:rsid w:val="006B1630"/>
    <w:rsid w:val="006B183E"/>
    <w:rsid w:val="006B1D47"/>
    <w:rsid w:val="006B1EB5"/>
    <w:rsid w:val="006B1F44"/>
    <w:rsid w:val="006B1FFF"/>
    <w:rsid w:val="006B2104"/>
    <w:rsid w:val="006B214A"/>
    <w:rsid w:val="006B2723"/>
    <w:rsid w:val="006B2816"/>
    <w:rsid w:val="006B2842"/>
    <w:rsid w:val="006B2937"/>
    <w:rsid w:val="006B2CC4"/>
    <w:rsid w:val="006B2F46"/>
    <w:rsid w:val="006B31DF"/>
    <w:rsid w:val="006B3384"/>
    <w:rsid w:val="006B3406"/>
    <w:rsid w:val="006B356A"/>
    <w:rsid w:val="006B3630"/>
    <w:rsid w:val="006B3735"/>
    <w:rsid w:val="006B3896"/>
    <w:rsid w:val="006B3A9B"/>
    <w:rsid w:val="006B3AC1"/>
    <w:rsid w:val="006B3BD8"/>
    <w:rsid w:val="006B3C90"/>
    <w:rsid w:val="006B3CF4"/>
    <w:rsid w:val="006B3E5D"/>
    <w:rsid w:val="006B3ED8"/>
    <w:rsid w:val="006B4068"/>
    <w:rsid w:val="006B407C"/>
    <w:rsid w:val="006B4333"/>
    <w:rsid w:val="006B437A"/>
    <w:rsid w:val="006B43B5"/>
    <w:rsid w:val="006B4588"/>
    <w:rsid w:val="006B497C"/>
    <w:rsid w:val="006B4DF3"/>
    <w:rsid w:val="006B4F95"/>
    <w:rsid w:val="006B520C"/>
    <w:rsid w:val="006B52CD"/>
    <w:rsid w:val="006B5347"/>
    <w:rsid w:val="006B566C"/>
    <w:rsid w:val="006B5681"/>
    <w:rsid w:val="006B5FAF"/>
    <w:rsid w:val="006B623B"/>
    <w:rsid w:val="006B623C"/>
    <w:rsid w:val="006B6567"/>
    <w:rsid w:val="006B6686"/>
    <w:rsid w:val="006B67C3"/>
    <w:rsid w:val="006B6828"/>
    <w:rsid w:val="006B685A"/>
    <w:rsid w:val="006B69A6"/>
    <w:rsid w:val="006B6AE8"/>
    <w:rsid w:val="006B6B43"/>
    <w:rsid w:val="006B6B54"/>
    <w:rsid w:val="006B6E2A"/>
    <w:rsid w:val="006B6F14"/>
    <w:rsid w:val="006B710B"/>
    <w:rsid w:val="006B7219"/>
    <w:rsid w:val="006B7498"/>
    <w:rsid w:val="006B757C"/>
    <w:rsid w:val="006B75A1"/>
    <w:rsid w:val="006B77CB"/>
    <w:rsid w:val="006B781E"/>
    <w:rsid w:val="006B783F"/>
    <w:rsid w:val="006B79D5"/>
    <w:rsid w:val="006B7A38"/>
    <w:rsid w:val="006B7BB0"/>
    <w:rsid w:val="006B7CF2"/>
    <w:rsid w:val="006B7DE8"/>
    <w:rsid w:val="006B7F8A"/>
    <w:rsid w:val="006B7FB5"/>
    <w:rsid w:val="006B7FC9"/>
    <w:rsid w:val="006C02A5"/>
    <w:rsid w:val="006C0466"/>
    <w:rsid w:val="006C0658"/>
    <w:rsid w:val="006C0696"/>
    <w:rsid w:val="006C085F"/>
    <w:rsid w:val="006C0AB6"/>
    <w:rsid w:val="006C0AC6"/>
    <w:rsid w:val="006C0FDA"/>
    <w:rsid w:val="006C1053"/>
    <w:rsid w:val="006C1184"/>
    <w:rsid w:val="006C1197"/>
    <w:rsid w:val="006C123D"/>
    <w:rsid w:val="006C1318"/>
    <w:rsid w:val="006C132D"/>
    <w:rsid w:val="006C14E9"/>
    <w:rsid w:val="006C1628"/>
    <w:rsid w:val="006C1721"/>
    <w:rsid w:val="006C1791"/>
    <w:rsid w:val="006C179C"/>
    <w:rsid w:val="006C1948"/>
    <w:rsid w:val="006C194A"/>
    <w:rsid w:val="006C19C4"/>
    <w:rsid w:val="006C19D2"/>
    <w:rsid w:val="006C1A9E"/>
    <w:rsid w:val="006C1BAA"/>
    <w:rsid w:val="006C205B"/>
    <w:rsid w:val="006C22E2"/>
    <w:rsid w:val="006C259A"/>
    <w:rsid w:val="006C28E4"/>
    <w:rsid w:val="006C2A52"/>
    <w:rsid w:val="006C2A92"/>
    <w:rsid w:val="006C2E31"/>
    <w:rsid w:val="006C310A"/>
    <w:rsid w:val="006C32D6"/>
    <w:rsid w:val="006C34F4"/>
    <w:rsid w:val="006C3590"/>
    <w:rsid w:val="006C36A2"/>
    <w:rsid w:val="006C388C"/>
    <w:rsid w:val="006C3897"/>
    <w:rsid w:val="006C3B1B"/>
    <w:rsid w:val="006C3C32"/>
    <w:rsid w:val="006C3D30"/>
    <w:rsid w:val="006C3E33"/>
    <w:rsid w:val="006C409C"/>
    <w:rsid w:val="006C424B"/>
    <w:rsid w:val="006C4421"/>
    <w:rsid w:val="006C45BE"/>
    <w:rsid w:val="006C45F8"/>
    <w:rsid w:val="006C472C"/>
    <w:rsid w:val="006C4A2C"/>
    <w:rsid w:val="006C4AAE"/>
    <w:rsid w:val="006C4E6C"/>
    <w:rsid w:val="006C4EC2"/>
    <w:rsid w:val="006C4F0B"/>
    <w:rsid w:val="006C5475"/>
    <w:rsid w:val="006C5B25"/>
    <w:rsid w:val="006C5C8B"/>
    <w:rsid w:val="006C5E54"/>
    <w:rsid w:val="006C5EBF"/>
    <w:rsid w:val="006C60DA"/>
    <w:rsid w:val="006C6111"/>
    <w:rsid w:val="006C622F"/>
    <w:rsid w:val="006C637D"/>
    <w:rsid w:val="006C6452"/>
    <w:rsid w:val="006C6653"/>
    <w:rsid w:val="006C6723"/>
    <w:rsid w:val="006C68E2"/>
    <w:rsid w:val="006C69FF"/>
    <w:rsid w:val="006C6BB7"/>
    <w:rsid w:val="006C6C9A"/>
    <w:rsid w:val="006C6F52"/>
    <w:rsid w:val="006C6F65"/>
    <w:rsid w:val="006C781D"/>
    <w:rsid w:val="006C7922"/>
    <w:rsid w:val="006C7E4E"/>
    <w:rsid w:val="006D01D7"/>
    <w:rsid w:val="006D0792"/>
    <w:rsid w:val="006D09F8"/>
    <w:rsid w:val="006D0B62"/>
    <w:rsid w:val="006D0B92"/>
    <w:rsid w:val="006D0E31"/>
    <w:rsid w:val="006D0EDC"/>
    <w:rsid w:val="006D0F82"/>
    <w:rsid w:val="006D1180"/>
    <w:rsid w:val="006D11B4"/>
    <w:rsid w:val="006D12A9"/>
    <w:rsid w:val="006D143D"/>
    <w:rsid w:val="006D150B"/>
    <w:rsid w:val="006D19DA"/>
    <w:rsid w:val="006D1BF9"/>
    <w:rsid w:val="006D1F8A"/>
    <w:rsid w:val="006D1F95"/>
    <w:rsid w:val="006D1FB1"/>
    <w:rsid w:val="006D2634"/>
    <w:rsid w:val="006D289A"/>
    <w:rsid w:val="006D2A9F"/>
    <w:rsid w:val="006D2AFC"/>
    <w:rsid w:val="006D2B6A"/>
    <w:rsid w:val="006D2CB0"/>
    <w:rsid w:val="006D31A0"/>
    <w:rsid w:val="006D34B7"/>
    <w:rsid w:val="006D35B7"/>
    <w:rsid w:val="006D361F"/>
    <w:rsid w:val="006D37AD"/>
    <w:rsid w:val="006D3810"/>
    <w:rsid w:val="006D3916"/>
    <w:rsid w:val="006D3BC7"/>
    <w:rsid w:val="006D3C65"/>
    <w:rsid w:val="006D3CD3"/>
    <w:rsid w:val="006D3E0C"/>
    <w:rsid w:val="006D4088"/>
    <w:rsid w:val="006D4408"/>
    <w:rsid w:val="006D444D"/>
    <w:rsid w:val="006D44F8"/>
    <w:rsid w:val="006D46FF"/>
    <w:rsid w:val="006D4B2B"/>
    <w:rsid w:val="006D4C9D"/>
    <w:rsid w:val="006D4D57"/>
    <w:rsid w:val="006D4D94"/>
    <w:rsid w:val="006D4FA0"/>
    <w:rsid w:val="006D505A"/>
    <w:rsid w:val="006D5143"/>
    <w:rsid w:val="006D563D"/>
    <w:rsid w:val="006D5A61"/>
    <w:rsid w:val="006D5ACD"/>
    <w:rsid w:val="006D5B55"/>
    <w:rsid w:val="006D5B63"/>
    <w:rsid w:val="006D5B7E"/>
    <w:rsid w:val="006D5CDD"/>
    <w:rsid w:val="006D61E9"/>
    <w:rsid w:val="006D63AF"/>
    <w:rsid w:val="006D6479"/>
    <w:rsid w:val="006D68F7"/>
    <w:rsid w:val="006D6D00"/>
    <w:rsid w:val="006D6D46"/>
    <w:rsid w:val="006D6EA4"/>
    <w:rsid w:val="006D71EC"/>
    <w:rsid w:val="006D7322"/>
    <w:rsid w:val="006D74DD"/>
    <w:rsid w:val="006D77DA"/>
    <w:rsid w:val="006D77FB"/>
    <w:rsid w:val="006D7A0A"/>
    <w:rsid w:val="006D7AD8"/>
    <w:rsid w:val="006D7D38"/>
    <w:rsid w:val="006D7E5F"/>
    <w:rsid w:val="006E0252"/>
    <w:rsid w:val="006E03C6"/>
    <w:rsid w:val="006E042E"/>
    <w:rsid w:val="006E0A2A"/>
    <w:rsid w:val="006E0C6F"/>
    <w:rsid w:val="006E0E3D"/>
    <w:rsid w:val="006E0FB2"/>
    <w:rsid w:val="006E0FBA"/>
    <w:rsid w:val="006E156B"/>
    <w:rsid w:val="006E16F9"/>
    <w:rsid w:val="006E1B02"/>
    <w:rsid w:val="006E1CC5"/>
    <w:rsid w:val="006E1D83"/>
    <w:rsid w:val="006E1DD0"/>
    <w:rsid w:val="006E1DF0"/>
    <w:rsid w:val="006E2423"/>
    <w:rsid w:val="006E25EE"/>
    <w:rsid w:val="006E27E7"/>
    <w:rsid w:val="006E289A"/>
    <w:rsid w:val="006E2AFD"/>
    <w:rsid w:val="006E2E3B"/>
    <w:rsid w:val="006E2F81"/>
    <w:rsid w:val="006E2F97"/>
    <w:rsid w:val="006E30C6"/>
    <w:rsid w:val="006E33E3"/>
    <w:rsid w:val="006E346A"/>
    <w:rsid w:val="006E34A1"/>
    <w:rsid w:val="006E36B2"/>
    <w:rsid w:val="006E373C"/>
    <w:rsid w:val="006E3980"/>
    <w:rsid w:val="006E39B9"/>
    <w:rsid w:val="006E3A86"/>
    <w:rsid w:val="006E3AC3"/>
    <w:rsid w:val="006E3BCA"/>
    <w:rsid w:val="006E403B"/>
    <w:rsid w:val="006E4238"/>
    <w:rsid w:val="006E4269"/>
    <w:rsid w:val="006E430D"/>
    <w:rsid w:val="006E469A"/>
    <w:rsid w:val="006E4823"/>
    <w:rsid w:val="006E4A24"/>
    <w:rsid w:val="006E4ACC"/>
    <w:rsid w:val="006E4C5E"/>
    <w:rsid w:val="006E4D7F"/>
    <w:rsid w:val="006E4E85"/>
    <w:rsid w:val="006E534C"/>
    <w:rsid w:val="006E534E"/>
    <w:rsid w:val="006E55DD"/>
    <w:rsid w:val="006E5688"/>
    <w:rsid w:val="006E5726"/>
    <w:rsid w:val="006E5868"/>
    <w:rsid w:val="006E58CD"/>
    <w:rsid w:val="006E5961"/>
    <w:rsid w:val="006E5D5D"/>
    <w:rsid w:val="006E5DF6"/>
    <w:rsid w:val="006E5E15"/>
    <w:rsid w:val="006E5E3F"/>
    <w:rsid w:val="006E5F82"/>
    <w:rsid w:val="006E63CE"/>
    <w:rsid w:val="006E6639"/>
    <w:rsid w:val="006E687A"/>
    <w:rsid w:val="006E6A8C"/>
    <w:rsid w:val="006E6D8A"/>
    <w:rsid w:val="006E6EBD"/>
    <w:rsid w:val="006E7391"/>
    <w:rsid w:val="006E7C8D"/>
    <w:rsid w:val="006E7D4E"/>
    <w:rsid w:val="006E7E24"/>
    <w:rsid w:val="006E7E9D"/>
    <w:rsid w:val="006F006D"/>
    <w:rsid w:val="006F00D6"/>
    <w:rsid w:val="006F0171"/>
    <w:rsid w:val="006F05AB"/>
    <w:rsid w:val="006F05C0"/>
    <w:rsid w:val="006F0693"/>
    <w:rsid w:val="006F0DC8"/>
    <w:rsid w:val="006F0DD5"/>
    <w:rsid w:val="006F0E14"/>
    <w:rsid w:val="006F0E7D"/>
    <w:rsid w:val="006F0ECD"/>
    <w:rsid w:val="006F0EEF"/>
    <w:rsid w:val="006F11D1"/>
    <w:rsid w:val="006F13C8"/>
    <w:rsid w:val="006F1711"/>
    <w:rsid w:val="006F1AAC"/>
    <w:rsid w:val="006F1B47"/>
    <w:rsid w:val="006F1C46"/>
    <w:rsid w:val="006F1E2D"/>
    <w:rsid w:val="006F2262"/>
    <w:rsid w:val="006F2437"/>
    <w:rsid w:val="006F24B4"/>
    <w:rsid w:val="006F2562"/>
    <w:rsid w:val="006F2B92"/>
    <w:rsid w:val="006F2B9D"/>
    <w:rsid w:val="006F2EAF"/>
    <w:rsid w:val="006F2F54"/>
    <w:rsid w:val="006F2FA3"/>
    <w:rsid w:val="006F328D"/>
    <w:rsid w:val="006F3568"/>
    <w:rsid w:val="006F370F"/>
    <w:rsid w:val="006F38CD"/>
    <w:rsid w:val="006F3AAF"/>
    <w:rsid w:val="006F3C82"/>
    <w:rsid w:val="006F3D14"/>
    <w:rsid w:val="006F430F"/>
    <w:rsid w:val="006F45C5"/>
    <w:rsid w:val="006F4620"/>
    <w:rsid w:val="006F47E4"/>
    <w:rsid w:val="006F497D"/>
    <w:rsid w:val="006F4B18"/>
    <w:rsid w:val="006F4D4A"/>
    <w:rsid w:val="006F5079"/>
    <w:rsid w:val="006F516F"/>
    <w:rsid w:val="006F51D5"/>
    <w:rsid w:val="006F53BA"/>
    <w:rsid w:val="006F5556"/>
    <w:rsid w:val="006F56F5"/>
    <w:rsid w:val="006F5725"/>
    <w:rsid w:val="006F5A45"/>
    <w:rsid w:val="006F5AF2"/>
    <w:rsid w:val="006F5B2C"/>
    <w:rsid w:val="006F5B9B"/>
    <w:rsid w:val="006F5F1E"/>
    <w:rsid w:val="006F5F3B"/>
    <w:rsid w:val="006F63DB"/>
    <w:rsid w:val="006F6648"/>
    <w:rsid w:val="006F66EE"/>
    <w:rsid w:val="006F66F1"/>
    <w:rsid w:val="006F6788"/>
    <w:rsid w:val="006F694C"/>
    <w:rsid w:val="006F6987"/>
    <w:rsid w:val="006F6CB3"/>
    <w:rsid w:val="006F6D1D"/>
    <w:rsid w:val="006F6DFE"/>
    <w:rsid w:val="006F6EDA"/>
    <w:rsid w:val="006F7647"/>
    <w:rsid w:val="006F7849"/>
    <w:rsid w:val="006F792F"/>
    <w:rsid w:val="006F7C7C"/>
    <w:rsid w:val="006F7CE0"/>
    <w:rsid w:val="006F7DEB"/>
    <w:rsid w:val="006F7E76"/>
    <w:rsid w:val="006F7E9E"/>
    <w:rsid w:val="006F7F8C"/>
    <w:rsid w:val="006F7FA0"/>
    <w:rsid w:val="00700017"/>
    <w:rsid w:val="0070007C"/>
    <w:rsid w:val="0070017A"/>
    <w:rsid w:val="00700259"/>
    <w:rsid w:val="007005BA"/>
    <w:rsid w:val="0070077A"/>
    <w:rsid w:val="00700802"/>
    <w:rsid w:val="00700955"/>
    <w:rsid w:val="007009BE"/>
    <w:rsid w:val="00700A12"/>
    <w:rsid w:val="00700F85"/>
    <w:rsid w:val="007011AA"/>
    <w:rsid w:val="00701229"/>
    <w:rsid w:val="0070159C"/>
    <w:rsid w:val="0070161B"/>
    <w:rsid w:val="00701714"/>
    <w:rsid w:val="0070181C"/>
    <w:rsid w:val="007018F0"/>
    <w:rsid w:val="00701E5F"/>
    <w:rsid w:val="00701F73"/>
    <w:rsid w:val="0070217F"/>
    <w:rsid w:val="007021FF"/>
    <w:rsid w:val="00702240"/>
    <w:rsid w:val="007022F8"/>
    <w:rsid w:val="0070236C"/>
    <w:rsid w:val="007024E9"/>
    <w:rsid w:val="0070260D"/>
    <w:rsid w:val="00702D2B"/>
    <w:rsid w:val="00702E77"/>
    <w:rsid w:val="00702F17"/>
    <w:rsid w:val="00703501"/>
    <w:rsid w:val="0070366E"/>
    <w:rsid w:val="007037D9"/>
    <w:rsid w:val="0070382B"/>
    <w:rsid w:val="007039AF"/>
    <w:rsid w:val="00703FF4"/>
    <w:rsid w:val="0070435D"/>
    <w:rsid w:val="007043F1"/>
    <w:rsid w:val="00704517"/>
    <w:rsid w:val="007045F2"/>
    <w:rsid w:val="00704652"/>
    <w:rsid w:val="0070467F"/>
    <w:rsid w:val="00704769"/>
    <w:rsid w:val="007047DE"/>
    <w:rsid w:val="0070493C"/>
    <w:rsid w:val="00704BE0"/>
    <w:rsid w:val="00704BF8"/>
    <w:rsid w:val="00704CAB"/>
    <w:rsid w:val="00704D7C"/>
    <w:rsid w:val="00704E59"/>
    <w:rsid w:val="00704F57"/>
    <w:rsid w:val="00705256"/>
    <w:rsid w:val="0070529F"/>
    <w:rsid w:val="007052B0"/>
    <w:rsid w:val="0070530E"/>
    <w:rsid w:val="007054B4"/>
    <w:rsid w:val="0070560A"/>
    <w:rsid w:val="0070572A"/>
    <w:rsid w:val="0070599E"/>
    <w:rsid w:val="00705B9F"/>
    <w:rsid w:val="00705BE0"/>
    <w:rsid w:val="00705DD5"/>
    <w:rsid w:val="00705DE1"/>
    <w:rsid w:val="00706275"/>
    <w:rsid w:val="007062C9"/>
    <w:rsid w:val="007062E4"/>
    <w:rsid w:val="00706381"/>
    <w:rsid w:val="007063B3"/>
    <w:rsid w:val="0070652A"/>
    <w:rsid w:val="00706726"/>
    <w:rsid w:val="007067EA"/>
    <w:rsid w:val="00706894"/>
    <w:rsid w:val="007069B7"/>
    <w:rsid w:val="007069EF"/>
    <w:rsid w:val="00706B47"/>
    <w:rsid w:val="00706C53"/>
    <w:rsid w:val="00706D57"/>
    <w:rsid w:val="007070B0"/>
    <w:rsid w:val="00707710"/>
    <w:rsid w:val="00707827"/>
    <w:rsid w:val="00707BC2"/>
    <w:rsid w:val="00707CE8"/>
    <w:rsid w:val="00707FEF"/>
    <w:rsid w:val="00710086"/>
    <w:rsid w:val="007101EA"/>
    <w:rsid w:val="00710375"/>
    <w:rsid w:val="00710456"/>
    <w:rsid w:val="00710500"/>
    <w:rsid w:val="0071067C"/>
    <w:rsid w:val="007106A7"/>
    <w:rsid w:val="00710C8C"/>
    <w:rsid w:val="00710CDA"/>
    <w:rsid w:val="00710E71"/>
    <w:rsid w:val="0071100C"/>
    <w:rsid w:val="00711328"/>
    <w:rsid w:val="00711366"/>
    <w:rsid w:val="00711417"/>
    <w:rsid w:val="00711841"/>
    <w:rsid w:val="007118F8"/>
    <w:rsid w:val="00711A21"/>
    <w:rsid w:val="00711D14"/>
    <w:rsid w:val="00711F53"/>
    <w:rsid w:val="00711F5B"/>
    <w:rsid w:val="00712269"/>
    <w:rsid w:val="00712455"/>
    <w:rsid w:val="0071248A"/>
    <w:rsid w:val="007124B2"/>
    <w:rsid w:val="00712828"/>
    <w:rsid w:val="00712836"/>
    <w:rsid w:val="00712957"/>
    <w:rsid w:val="00712959"/>
    <w:rsid w:val="00712CFC"/>
    <w:rsid w:val="00712DA2"/>
    <w:rsid w:val="00712DF2"/>
    <w:rsid w:val="00712EE3"/>
    <w:rsid w:val="00712FB7"/>
    <w:rsid w:val="00713209"/>
    <w:rsid w:val="00713296"/>
    <w:rsid w:val="00713411"/>
    <w:rsid w:val="00713651"/>
    <w:rsid w:val="007136E8"/>
    <w:rsid w:val="00713937"/>
    <w:rsid w:val="00713E3F"/>
    <w:rsid w:val="00713FCB"/>
    <w:rsid w:val="00714284"/>
    <w:rsid w:val="0071440E"/>
    <w:rsid w:val="00714C5D"/>
    <w:rsid w:val="00714CD0"/>
    <w:rsid w:val="0071515C"/>
    <w:rsid w:val="00715236"/>
    <w:rsid w:val="00715339"/>
    <w:rsid w:val="0071546F"/>
    <w:rsid w:val="007154E1"/>
    <w:rsid w:val="0071568C"/>
    <w:rsid w:val="00715691"/>
    <w:rsid w:val="0071574E"/>
    <w:rsid w:val="007159AB"/>
    <w:rsid w:val="00715A1C"/>
    <w:rsid w:val="00715CA3"/>
    <w:rsid w:val="00715E3B"/>
    <w:rsid w:val="00715FBE"/>
    <w:rsid w:val="00716138"/>
    <w:rsid w:val="00716174"/>
    <w:rsid w:val="007162AA"/>
    <w:rsid w:val="007163ED"/>
    <w:rsid w:val="00716777"/>
    <w:rsid w:val="007169C4"/>
    <w:rsid w:val="00716B02"/>
    <w:rsid w:val="0071720B"/>
    <w:rsid w:val="0071735B"/>
    <w:rsid w:val="00717430"/>
    <w:rsid w:val="00717568"/>
    <w:rsid w:val="007175A9"/>
    <w:rsid w:val="0071766E"/>
    <w:rsid w:val="00717721"/>
    <w:rsid w:val="00717761"/>
    <w:rsid w:val="00717C05"/>
    <w:rsid w:val="00717C0F"/>
    <w:rsid w:val="00717D4D"/>
    <w:rsid w:val="00717DFF"/>
    <w:rsid w:val="00717E4A"/>
    <w:rsid w:val="00717E8D"/>
    <w:rsid w:val="00717EAA"/>
    <w:rsid w:val="00717ED4"/>
    <w:rsid w:val="00717EE3"/>
    <w:rsid w:val="00717FE8"/>
    <w:rsid w:val="00720287"/>
    <w:rsid w:val="00720620"/>
    <w:rsid w:val="00720760"/>
    <w:rsid w:val="00720885"/>
    <w:rsid w:val="007209D1"/>
    <w:rsid w:val="007209DD"/>
    <w:rsid w:val="00720AD2"/>
    <w:rsid w:val="00720CD9"/>
    <w:rsid w:val="00720E23"/>
    <w:rsid w:val="0072103A"/>
    <w:rsid w:val="007210DA"/>
    <w:rsid w:val="0072144B"/>
    <w:rsid w:val="00721815"/>
    <w:rsid w:val="007218D2"/>
    <w:rsid w:val="007218E0"/>
    <w:rsid w:val="00721958"/>
    <w:rsid w:val="00721BD3"/>
    <w:rsid w:val="00721F27"/>
    <w:rsid w:val="007220A1"/>
    <w:rsid w:val="00722142"/>
    <w:rsid w:val="00722538"/>
    <w:rsid w:val="007226B6"/>
    <w:rsid w:val="00722BDF"/>
    <w:rsid w:val="00722FDD"/>
    <w:rsid w:val="00723031"/>
    <w:rsid w:val="00723498"/>
    <w:rsid w:val="007235AD"/>
    <w:rsid w:val="0072374C"/>
    <w:rsid w:val="00723998"/>
    <w:rsid w:val="00723A5C"/>
    <w:rsid w:val="00723A74"/>
    <w:rsid w:val="00723A76"/>
    <w:rsid w:val="00723BDD"/>
    <w:rsid w:val="0072413C"/>
    <w:rsid w:val="007241C2"/>
    <w:rsid w:val="007241DE"/>
    <w:rsid w:val="007242B9"/>
    <w:rsid w:val="00724305"/>
    <w:rsid w:val="007243C0"/>
    <w:rsid w:val="007243C6"/>
    <w:rsid w:val="00724444"/>
    <w:rsid w:val="007244C2"/>
    <w:rsid w:val="0072472C"/>
    <w:rsid w:val="007249EA"/>
    <w:rsid w:val="007249FF"/>
    <w:rsid w:val="00724BF8"/>
    <w:rsid w:val="00724D6E"/>
    <w:rsid w:val="00724E8B"/>
    <w:rsid w:val="00724FBF"/>
    <w:rsid w:val="00725029"/>
    <w:rsid w:val="0072508C"/>
    <w:rsid w:val="00725315"/>
    <w:rsid w:val="007253C6"/>
    <w:rsid w:val="00725B87"/>
    <w:rsid w:val="00725B95"/>
    <w:rsid w:val="00725C3F"/>
    <w:rsid w:val="00725D5A"/>
    <w:rsid w:val="00725D80"/>
    <w:rsid w:val="00725EC4"/>
    <w:rsid w:val="007261D7"/>
    <w:rsid w:val="00726823"/>
    <w:rsid w:val="00726D38"/>
    <w:rsid w:val="00726E50"/>
    <w:rsid w:val="00726F79"/>
    <w:rsid w:val="0072716A"/>
    <w:rsid w:val="0072723F"/>
    <w:rsid w:val="00727383"/>
    <w:rsid w:val="00727389"/>
    <w:rsid w:val="007273CA"/>
    <w:rsid w:val="00727522"/>
    <w:rsid w:val="00727568"/>
    <w:rsid w:val="0072757B"/>
    <w:rsid w:val="007278A6"/>
    <w:rsid w:val="00727F14"/>
    <w:rsid w:val="007302C8"/>
    <w:rsid w:val="007303E3"/>
    <w:rsid w:val="0073058A"/>
    <w:rsid w:val="0073062A"/>
    <w:rsid w:val="00730644"/>
    <w:rsid w:val="00730B69"/>
    <w:rsid w:val="00730E02"/>
    <w:rsid w:val="00730FBE"/>
    <w:rsid w:val="00730FCF"/>
    <w:rsid w:val="0073107E"/>
    <w:rsid w:val="007310FD"/>
    <w:rsid w:val="0073112A"/>
    <w:rsid w:val="0073140F"/>
    <w:rsid w:val="007314A9"/>
    <w:rsid w:val="00731851"/>
    <w:rsid w:val="007319CE"/>
    <w:rsid w:val="00731A16"/>
    <w:rsid w:val="00731B6B"/>
    <w:rsid w:val="00731ED1"/>
    <w:rsid w:val="0073219C"/>
    <w:rsid w:val="007322C6"/>
    <w:rsid w:val="0073241B"/>
    <w:rsid w:val="00732557"/>
    <w:rsid w:val="00732707"/>
    <w:rsid w:val="00732E68"/>
    <w:rsid w:val="007334B5"/>
    <w:rsid w:val="00733684"/>
    <w:rsid w:val="00733693"/>
    <w:rsid w:val="007336C4"/>
    <w:rsid w:val="00733783"/>
    <w:rsid w:val="00733802"/>
    <w:rsid w:val="007338C9"/>
    <w:rsid w:val="007339F6"/>
    <w:rsid w:val="00733BEB"/>
    <w:rsid w:val="00733D88"/>
    <w:rsid w:val="00734102"/>
    <w:rsid w:val="0073421C"/>
    <w:rsid w:val="00734259"/>
    <w:rsid w:val="0073447E"/>
    <w:rsid w:val="00734536"/>
    <w:rsid w:val="00734628"/>
    <w:rsid w:val="007346A6"/>
    <w:rsid w:val="007348BF"/>
    <w:rsid w:val="007348FB"/>
    <w:rsid w:val="00734D1B"/>
    <w:rsid w:val="00734F84"/>
    <w:rsid w:val="007351FF"/>
    <w:rsid w:val="007355B4"/>
    <w:rsid w:val="00735605"/>
    <w:rsid w:val="007356E2"/>
    <w:rsid w:val="007359E2"/>
    <w:rsid w:val="00735A38"/>
    <w:rsid w:val="00735CDA"/>
    <w:rsid w:val="00735E32"/>
    <w:rsid w:val="007360B3"/>
    <w:rsid w:val="00736209"/>
    <w:rsid w:val="007362A9"/>
    <w:rsid w:val="007363E0"/>
    <w:rsid w:val="007365FD"/>
    <w:rsid w:val="00736610"/>
    <w:rsid w:val="0073689D"/>
    <w:rsid w:val="00736953"/>
    <w:rsid w:val="00736BAD"/>
    <w:rsid w:val="00736CF4"/>
    <w:rsid w:val="00736DC4"/>
    <w:rsid w:val="00736F52"/>
    <w:rsid w:val="00736F62"/>
    <w:rsid w:val="007370DD"/>
    <w:rsid w:val="00737135"/>
    <w:rsid w:val="007373D9"/>
    <w:rsid w:val="00737734"/>
    <w:rsid w:val="0073780D"/>
    <w:rsid w:val="00737811"/>
    <w:rsid w:val="00737A27"/>
    <w:rsid w:val="00737A9B"/>
    <w:rsid w:val="00737C36"/>
    <w:rsid w:val="00737DF6"/>
    <w:rsid w:val="00737F53"/>
    <w:rsid w:val="00740329"/>
    <w:rsid w:val="00740371"/>
    <w:rsid w:val="00740515"/>
    <w:rsid w:val="007405E0"/>
    <w:rsid w:val="00740720"/>
    <w:rsid w:val="0074078E"/>
    <w:rsid w:val="00740AF5"/>
    <w:rsid w:val="00740C72"/>
    <w:rsid w:val="00740CCC"/>
    <w:rsid w:val="00740E69"/>
    <w:rsid w:val="0074110F"/>
    <w:rsid w:val="00741330"/>
    <w:rsid w:val="007413B7"/>
    <w:rsid w:val="007414F6"/>
    <w:rsid w:val="00741629"/>
    <w:rsid w:val="00741675"/>
    <w:rsid w:val="007416F7"/>
    <w:rsid w:val="0074174A"/>
    <w:rsid w:val="007417DA"/>
    <w:rsid w:val="007417EA"/>
    <w:rsid w:val="007418D5"/>
    <w:rsid w:val="00741AF2"/>
    <w:rsid w:val="00741D2D"/>
    <w:rsid w:val="00741F25"/>
    <w:rsid w:val="0074219F"/>
    <w:rsid w:val="0074230E"/>
    <w:rsid w:val="007423DE"/>
    <w:rsid w:val="007425CC"/>
    <w:rsid w:val="00742619"/>
    <w:rsid w:val="00742712"/>
    <w:rsid w:val="007428DB"/>
    <w:rsid w:val="00742926"/>
    <w:rsid w:val="00742959"/>
    <w:rsid w:val="00742B56"/>
    <w:rsid w:val="00742BD5"/>
    <w:rsid w:val="00742FFA"/>
    <w:rsid w:val="007431E2"/>
    <w:rsid w:val="0074377B"/>
    <w:rsid w:val="007439E1"/>
    <w:rsid w:val="00743A03"/>
    <w:rsid w:val="00743E49"/>
    <w:rsid w:val="00743FCF"/>
    <w:rsid w:val="007443DF"/>
    <w:rsid w:val="007444FC"/>
    <w:rsid w:val="007447B3"/>
    <w:rsid w:val="007447F2"/>
    <w:rsid w:val="00744C68"/>
    <w:rsid w:val="00744E3F"/>
    <w:rsid w:val="00744E83"/>
    <w:rsid w:val="007450A6"/>
    <w:rsid w:val="0074514E"/>
    <w:rsid w:val="007452D5"/>
    <w:rsid w:val="00745328"/>
    <w:rsid w:val="00745549"/>
    <w:rsid w:val="007455A5"/>
    <w:rsid w:val="00745B5F"/>
    <w:rsid w:val="00745BB6"/>
    <w:rsid w:val="00745F3B"/>
    <w:rsid w:val="007460CA"/>
    <w:rsid w:val="007462A6"/>
    <w:rsid w:val="007463A6"/>
    <w:rsid w:val="00746436"/>
    <w:rsid w:val="007464E8"/>
    <w:rsid w:val="0074675A"/>
    <w:rsid w:val="007467E9"/>
    <w:rsid w:val="00746AE8"/>
    <w:rsid w:val="00746DD9"/>
    <w:rsid w:val="00746F78"/>
    <w:rsid w:val="007472BC"/>
    <w:rsid w:val="00747395"/>
    <w:rsid w:val="00747859"/>
    <w:rsid w:val="007479E9"/>
    <w:rsid w:val="00747A97"/>
    <w:rsid w:val="00747BA8"/>
    <w:rsid w:val="00747FE0"/>
    <w:rsid w:val="00750222"/>
    <w:rsid w:val="007503A4"/>
    <w:rsid w:val="007505C0"/>
    <w:rsid w:val="00750617"/>
    <w:rsid w:val="00750768"/>
    <w:rsid w:val="00750BC3"/>
    <w:rsid w:val="00750CDF"/>
    <w:rsid w:val="00750EEB"/>
    <w:rsid w:val="00750F40"/>
    <w:rsid w:val="0075101E"/>
    <w:rsid w:val="007511B3"/>
    <w:rsid w:val="00751286"/>
    <w:rsid w:val="007515E7"/>
    <w:rsid w:val="00751687"/>
    <w:rsid w:val="00751757"/>
    <w:rsid w:val="007517BE"/>
    <w:rsid w:val="00751914"/>
    <w:rsid w:val="00751DEC"/>
    <w:rsid w:val="00752010"/>
    <w:rsid w:val="0075227E"/>
    <w:rsid w:val="007523AB"/>
    <w:rsid w:val="00752451"/>
    <w:rsid w:val="0075284E"/>
    <w:rsid w:val="00752C12"/>
    <w:rsid w:val="00752C1C"/>
    <w:rsid w:val="0075306B"/>
    <w:rsid w:val="007531D3"/>
    <w:rsid w:val="0075380B"/>
    <w:rsid w:val="00753ACC"/>
    <w:rsid w:val="00753DC8"/>
    <w:rsid w:val="00753F1C"/>
    <w:rsid w:val="00754309"/>
    <w:rsid w:val="0075433A"/>
    <w:rsid w:val="007543D5"/>
    <w:rsid w:val="00754452"/>
    <w:rsid w:val="0075456D"/>
    <w:rsid w:val="007547AA"/>
    <w:rsid w:val="00754A2D"/>
    <w:rsid w:val="00754ABC"/>
    <w:rsid w:val="00754C23"/>
    <w:rsid w:val="00754D17"/>
    <w:rsid w:val="00754D4B"/>
    <w:rsid w:val="00755187"/>
    <w:rsid w:val="0075538C"/>
    <w:rsid w:val="00755AC8"/>
    <w:rsid w:val="00755C0A"/>
    <w:rsid w:val="00755D57"/>
    <w:rsid w:val="00755D7A"/>
    <w:rsid w:val="00755FCD"/>
    <w:rsid w:val="00756092"/>
    <w:rsid w:val="007560D3"/>
    <w:rsid w:val="0075621C"/>
    <w:rsid w:val="00756526"/>
    <w:rsid w:val="007565DF"/>
    <w:rsid w:val="00756892"/>
    <w:rsid w:val="00756933"/>
    <w:rsid w:val="007569A3"/>
    <w:rsid w:val="007569D5"/>
    <w:rsid w:val="00756B93"/>
    <w:rsid w:val="00756BF7"/>
    <w:rsid w:val="00756E29"/>
    <w:rsid w:val="00756F27"/>
    <w:rsid w:val="007571E2"/>
    <w:rsid w:val="00757759"/>
    <w:rsid w:val="00757763"/>
    <w:rsid w:val="007577D4"/>
    <w:rsid w:val="00757A10"/>
    <w:rsid w:val="00757AAA"/>
    <w:rsid w:val="00757BCA"/>
    <w:rsid w:val="00757D4B"/>
    <w:rsid w:val="00757E1E"/>
    <w:rsid w:val="00757E46"/>
    <w:rsid w:val="007600EA"/>
    <w:rsid w:val="0076012E"/>
    <w:rsid w:val="007601E3"/>
    <w:rsid w:val="007602C0"/>
    <w:rsid w:val="0076047E"/>
    <w:rsid w:val="0076056F"/>
    <w:rsid w:val="00760621"/>
    <w:rsid w:val="00761068"/>
    <w:rsid w:val="00761078"/>
    <w:rsid w:val="0076108E"/>
    <w:rsid w:val="00761590"/>
    <w:rsid w:val="0076191F"/>
    <w:rsid w:val="0076195E"/>
    <w:rsid w:val="00761C43"/>
    <w:rsid w:val="00761CCD"/>
    <w:rsid w:val="00761ED9"/>
    <w:rsid w:val="00761F9A"/>
    <w:rsid w:val="00762017"/>
    <w:rsid w:val="00762031"/>
    <w:rsid w:val="00762212"/>
    <w:rsid w:val="00762403"/>
    <w:rsid w:val="007626AC"/>
    <w:rsid w:val="0076284E"/>
    <w:rsid w:val="00762AE3"/>
    <w:rsid w:val="00762B3F"/>
    <w:rsid w:val="00762CE7"/>
    <w:rsid w:val="00762D69"/>
    <w:rsid w:val="00762D99"/>
    <w:rsid w:val="00762DEC"/>
    <w:rsid w:val="00762FDB"/>
    <w:rsid w:val="007631D8"/>
    <w:rsid w:val="007632EF"/>
    <w:rsid w:val="0076333D"/>
    <w:rsid w:val="007636B1"/>
    <w:rsid w:val="00763A2F"/>
    <w:rsid w:val="00763B3D"/>
    <w:rsid w:val="00763FF3"/>
    <w:rsid w:val="007640E9"/>
    <w:rsid w:val="007642EB"/>
    <w:rsid w:val="007643E6"/>
    <w:rsid w:val="00764441"/>
    <w:rsid w:val="00764CD9"/>
    <w:rsid w:val="00764D9D"/>
    <w:rsid w:val="00764EF7"/>
    <w:rsid w:val="00764F6A"/>
    <w:rsid w:val="00764FB1"/>
    <w:rsid w:val="0076516A"/>
    <w:rsid w:val="007651A5"/>
    <w:rsid w:val="007659FB"/>
    <w:rsid w:val="00765C8C"/>
    <w:rsid w:val="007660B6"/>
    <w:rsid w:val="007660E3"/>
    <w:rsid w:val="007665F4"/>
    <w:rsid w:val="00766893"/>
    <w:rsid w:val="00766BAB"/>
    <w:rsid w:val="00766F7E"/>
    <w:rsid w:val="00767037"/>
    <w:rsid w:val="007671BF"/>
    <w:rsid w:val="007672E1"/>
    <w:rsid w:val="00767313"/>
    <w:rsid w:val="0076731C"/>
    <w:rsid w:val="00767703"/>
    <w:rsid w:val="0076779D"/>
    <w:rsid w:val="007677DE"/>
    <w:rsid w:val="00767841"/>
    <w:rsid w:val="007679DE"/>
    <w:rsid w:val="00767C58"/>
    <w:rsid w:val="00767DAA"/>
    <w:rsid w:val="007700B0"/>
    <w:rsid w:val="00770340"/>
    <w:rsid w:val="00770613"/>
    <w:rsid w:val="00770735"/>
    <w:rsid w:val="007708FE"/>
    <w:rsid w:val="00770B7C"/>
    <w:rsid w:val="00770C64"/>
    <w:rsid w:val="00770DC7"/>
    <w:rsid w:val="00770EEA"/>
    <w:rsid w:val="007711F9"/>
    <w:rsid w:val="0077125D"/>
    <w:rsid w:val="0077151B"/>
    <w:rsid w:val="007715E2"/>
    <w:rsid w:val="0077197E"/>
    <w:rsid w:val="0077198F"/>
    <w:rsid w:val="00771DAD"/>
    <w:rsid w:val="0077228F"/>
    <w:rsid w:val="00772422"/>
    <w:rsid w:val="007726C8"/>
    <w:rsid w:val="007727C6"/>
    <w:rsid w:val="00772AF7"/>
    <w:rsid w:val="00772BA2"/>
    <w:rsid w:val="00772BCB"/>
    <w:rsid w:val="00772D0D"/>
    <w:rsid w:val="00772EAB"/>
    <w:rsid w:val="00772F0A"/>
    <w:rsid w:val="007730E6"/>
    <w:rsid w:val="0077310A"/>
    <w:rsid w:val="007732D3"/>
    <w:rsid w:val="00773559"/>
    <w:rsid w:val="00773561"/>
    <w:rsid w:val="007736E3"/>
    <w:rsid w:val="00773799"/>
    <w:rsid w:val="0077394D"/>
    <w:rsid w:val="007739DB"/>
    <w:rsid w:val="00773C2A"/>
    <w:rsid w:val="00773D51"/>
    <w:rsid w:val="00773F81"/>
    <w:rsid w:val="007740BB"/>
    <w:rsid w:val="00774250"/>
    <w:rsid w:val="007742AD"/>
    <w:rsid w:val="00774461"/>
    <w:rsid w:val="00774582"/>
    <w:rsid w:val="007745C9"/>
    <w:rsid w:val="0077482A"/>
    <w:rsid w:val="00774A45"/>
    <w:rsid w:val="00774D40"/>
    <w:rsid w:val="00775056"/>
    <w:rsid w:val="007751B5"/>
    <w:rsid w:val="0077522C"/>
    <w:rsid w:val="007757AC"/>
    <w:rsid w:val="007757E2"/>
    <w:rsid w:val="007758AB"/>
    <w:rsid w:val="00775A84"/>
    <w:rsid w:val="00775B7B"/>
    <w:rsid w:val="00775CD3"/>
    <w:rsid w:val="00775FC3"/>
    <w:rsid w:val="00776203"/>
    <w:rsid w:val="00776282"/>
    <w:rsid w:val="007764F3"/>
    <w:rsid w:val="00776832"/>
    <w:rsid w:val="00776A61"/>
    <w:rsid w:val="00776BC1"/>
    <w:rsid w:val="00776D62"/>
    <w:rsid w:val="00776DCD"/>
    <w:rsid w:val="00776E5F"/>
    <w:rsid w:val="00776F45"/>
    <w:rsid w:val="00777072"/>
    <w:rsid w:val="007770E5"/>
    <w:rsid w:val="00777180"/>
    <w:rsid w:val="0077732C"/>
    <w:rsid w:val="007776A4"/>
    <w:rsid w:val="0077773D"/>
    <w:rsid w:val="00777808"/>
    <w:rsid w:val="007778DB"/>
    <w:rsid w:val="007778EB"/>
    <w:rsid w:val="0077797C"/>
    <w:rsid w:val="00777A08"/>
    <w:rsid w:val="00777ABF"/>
    <w:rsid w:val="00777B8C"/>
    <w:rsid w:val="00777B95"/>
    <w:rsid w:val="00777BEF"/>
    <w:rsid w:val="00780065"/>
    <w:rsid w:val="0078013B"/>
    <w:rsid w:val="00780382"/>
    <w:rsid w:val="00780481"/>
    <w:rsid w:val="007808A4"/>
    <w:rsid w:val="00780900"/>
    <w:rsid w:val="00780C59"/>
    <w:rsid w:val="00780ED0"/>
    <w:rsid w:val="00780F92"/>
    <w:rsid w:val="007810AC"/>
    <w:rsid w:val="007810D8"/>
    <w:rsid w:val="00781206"/>
    <w:rsid w:val="007813B8"/>
    <w:rsid w:val="007815DE"/>
    <w:rsid w:val="007816E6"/>
    <w:rsid w:val="0078190E"/>
    <w:rsid w:val="0078199E"/>
    <w:rsid w:val="00781A76"/>
    <w:rsid w:val="00781A9A"/>
    <w:rsid w:val="00781BB9"/>
    <w:rsid w:val="00781DEF"/>
    <w:rsid w:val="00782084"/>
    <w:rsid w:val="00782144"/>
    <w:rsid w:val="00782721"/>
    <w:rsid w:val="00782BFE"/>
    <w:rsid w:val="00782DE6"/>
    <w:rsid w:val="00782E19"/>
    <w:rsid w:val="00782E1D"/>
    <w:rsid w:val="00782ED5"/>
    <w:rsid w:val="00783094"/>
    <w:rsid w:val="007830B6"/>
    <w:rsid w:val="007835F5"/>
    <w:rsid w:val="00783794"/>
    <w:rsid w:val="00783A71"/>
    <w:rsid w:val="007840A1"/>
    <w:rsid w:val="007840A6"/>
    <w:rsid w:val="00784160"/>
    <w:rsid w:val="00784198"/>
    <w:rsid w:val="0078422E"/>
    <w:rsid w:val="007842DB"/>
    <w:rsid w:val="007843DD"/>
    <w:rsid w:val="00784423"/>
    <w:rsid w:val="0078454F"/>
    <w:rsid w:val="00784640"/>
    <w:rsid w:val="00784C48"/>
    <w:rsid w:val="00784D07"/>
    <w:rsid w:val="00784DD3"/>
    <w:rsid w:val="00784E82"/>
    <w:rsid w:val="00784FCB"/>
    <w:rsid w:val="0078505F"/>
    <w:rsid w:val="0078514E"/>
    <w:rsid w:val="007852E9"/>
    <w:rsid w:val="00785608"/>
    <w:rsid w:val="0078561C"/>
    <w:rsid w:val="00785860"/>
    <w:rsid w:val="00785A9D"/>
    <w:rsid w:val="00785B6A"/>
    <w:rsid w:val="00785CE2"/>
    <w:rsid w:val="00785D39"/>
    <w:rsid w:val="00786119"/>
    <w:rsid w:val="007863DA"/>
    <w:rsid w:val="007864B3"/>
    <w:rsid w:val="00786501"/>
    <w:rsid w:val="0078658D"/>
    <w:rsid w:val="0078675C"/>
    <w:rsid w:val="00786BC9"/>
    <w:rsid w:val="00786D61"/>
    <w:rsid w:val="00787158"/>
    <w:rsid w:val="007872A3"/>
    <w:rsid w:val="007872F2"/>
    <w:rsid w:val="007873C6"/>
    <w:rsid w:val="00787467"/>
    <w:rsid w:val="0078790E"/>
    <w:rsid w:val="0078795C"/>
    <w:rsid w:val="007879E5"/>
    <w:rsid w:val="00787C50"/>
    <w:rsid w:val="0079022B"/>
    <w:rsid w:val="00790298"/>
    <w:rsid w:val="00790848"/>
    <w:rsid w:val="007909A5"/>
    <w:rsid w:val="00790DC4"/>
    <w:rsid w:val="00791451"/>
    <w:rsid w:val="00791930"/>
    <w:rsid w:val="00791A4B"/>
    <w:rsid w:val="00791AB6"/>
    <w:rsid w:val="00791D63"/>
    <w:rsid w:val="00791EFE"/>
    <w:rsid w:val="00792236"/>
    <w:rsid w:val="00792777"/>
    <w:rsid w:val="007928DB"/>
    <w:rsid w:val="0079294E"/>
    <w:rsid w:val="00792E2F"/>
    <w:rsid w:val="00792E86"/>
    <w:rsid w:val="00792F02"/>
    <w:rsid w:val="0079324D"/>
    <w:rsid w:val="00793345"/>
    <w:rsid w:val="00793557"/>
    <w:rsid w:val="0079357D"/>
    <w:rsid w:val="0079368D"/>
    <w:rsid w:val="0079371D"/>
    <w:rsid w:val="0079387F"/>
    <w:rsid w:val="00793C54"/>
    <w:rsid w:val="00793CDD"/>
    <w:rsid w:val="00793CFC"/>
    <w:rsid w:val="0079405D"/>
    <w:rsid w:val="007947B5"/>
    <w:rsid w:val="00794824"/>
    <w:rsid w:val="00794852"/>
    <w:rsid w:val="00794906"/>
    <w:rsid w:val="00794A27"/>
    <w:rsid w:val="00794EB8"/>
    <w:rsid w:val="00794F79"/>
    <w:rsid w:val="007950DB"/>
    <w:rsid w:val="0079516D"/>
    <w:rsid w:val="00795271"/>
    <w:rsid w:val="007952AA"/>
    <w:rsid w:val="00795369"/>
    <w:rsid w:val="0079544A"/>
    <w:rsid w:val="007954ED"/>
    <w:rsid w:val="0079563B"/>
    <w:rsid w:val="0079576E"/>
    <w:rsid w:val="007958AB"/>
    <w:rsid w:val="007958BD"/>
    <w:rsid w:val="007959B0"/>
    <w:rsid w:val="00795B3C"/>
    <w:rsid w:val="0079613C"/>
    <w:rsid w:val="0079617A"/>
    <w:rsid w:val="007964CD"/>
    <w:rsid w:val="0079650E"/>
    <w:rsid w:val="0079652C"/>
    <w:rsid w:val="00796DC2"/>
    <w:rsid w:val="00796EB2"/>
    <w:rsid w:val="00797117"/>
    <w:rsid w:val="0079721B"/>
    <w:rsid w:val="00797268"/>
    <w:rsid w:val="007974C5"/>
    <w:rsid w:val="007974F6"/>
    <w:rsid w:val="00797640"/>
    <w:rsid w:val="007977B4"/>
    <w:rsid w:val="00797B80"/>
    <w:rsid w:val="00797BC2"/>
    <w:rsid w:val="00797ED8"/>
    <w:rsid w:val="00797F1A"/>
    <w:rsid w:val="00797F94"/>
    <w:rsid w:val="007A0144"/>
    <w:rsid w:val="007A023C"/>
    <w:rsid w:val="007A083E"/>
    <w:rsid w:val="007A0985"/>
    <w:rsid w:val="007A0AEC"/>
    <w:rsid w:val="007A0F0B"/>
    <w:rsid w:val="007A0FE3"/>
    <w:rsid w:val="007A1012"/>
    <w:rsid w:val="007A1037"/>
    <w:rsid w:val="007A10EC"/>
    <w:rsid w:val="007A10FA"/>
    <w:rsid w:val="007A1198"/>
    <w:rsid w:val="007A12E0"/>
    <w:rsid w:val="007A1649"/>
    <w:rsid w:val="007A1685"/>
    <w:rsid w:val="007A1815"/>
    <w:rsid w:val="007A1893"/>
    <w:rsid w:val="007A19CE"/>
    <w:rsid w:val="007A19ED"/>
    <w:rsid w:val="007A1A41"/>
    <w:rsid w:val="007A1D5C"/>
    <w:rsid w:val="007A1F40"/>
    <w:rsid w:val="007A205F"/>
    <w:rsid w:val="007A215C"/>
    <w:rsid w:val="007A216A"/>
    <w:rsid w:val="007A2384"/>
    <w:rsid w:val="007A23A1"/>
    <w:rsid w:val="007A263C"/>
    <w:rsid w:val="007A2797"/>
    <w:rsid w:val="007A29BE"/>
    <w:rsid w:val="007A2AB7"/>
    <w:rsid w:val="007A2C5C"/>
    <w:rsid w:val="007A2CFD"/>
    <w:rsid w:val="007A2D16"/>
    <w:rsid w:val="007A2D1F"/>
    <w:rsid w:val="007A2D20"/>
    <w:rsid w:val="007A2DD9"/>
    <w:rsid w:val="007A2E17"/>
    <w:rsid w:val="007A2E8F"/>
    <w:rsid w:val="007A304F"/>
    <w:rsid w:val="007A3058"/>
    <w:rsid w:val="007A30C8"/>
    <w:rsid w:val="007A32CF"/>
    <w:rsid w:val="007A3314"/>
    <w:rsid w:val="007A38FA"/>
    <w:rsid w:val="007A3E4F"/>
    <w:rsid w:val="007A413D"/>
    <w:rsid w:val="007A44A2"/>
    <w:rsid w:val="007A45D3"/>
    <w:rsid w:val="007A45D6"/>
    <w:rsid w:val="007A465F"/>
    <w:rsid w:val="007A4689"/>
    <w:rsid w:val="007A4BC3"/>
    <w:rsid w:val="007A4CBC"/>
    <w:rsid w:val="007A4D04"/>
    <w:rsid w:val="007A4FA2"/>
    <w:rsid w:val="007A4FE7"/>
    <w:rsid w:val="007A526E"/>
    <w:rsid w:val="007A54A4"/>
    <w:rsid w:val="007A5898"/>
    <w:rsid w:val="007A58A3"/>
    <w:rsid w:val="007A58CB"/>
    <w:rsid w:val="007A5B4D"/>
    <w:rsid w:val="007A5CA5"/>
    <w:rsid w:val="007A5EAF"/>
    <w:rsid w:val="007A6117"/>
    <w:rsid w:val="007A6300"/>
    <w:rsid w:val="007A634D"/>
    <w:rsid w:val="007A64AC"/>
    <w:rsid w:val="007A64D9"/>
    <w:rsid w:val="007A6768"/>
    <w:rsid w:val="007A6854"/>
    <w:rsid w:val="007A697D"/>
    <w:rsid w:val="007A6B2F"/>
    <w:rsid w:val="007A6B54"/>
    <w:rsid w:val="007A6BA4"/>
    <w:rsid w:val="007A6EA9"/>
    <w:rsid w:val="007A6F7F"/>
    <w:rsid w:val="007A727B"/>
    <w:rsid w:val="007A7643"/>
    <w:rsid w:val="007A7958"/>
    <w:rsid w:val="007A7B00"/>
    <w:rsid w:val="007A7DC2"/>
    <w:rsid w:val="007A7F86"/>
    <w:rsid w:val="007B020C"/>
    <w:rsid w:val="007B039E"/>
    <w:rsid w:val="007B03BF"/>
    <w:rsid w:val="007B03F5"/>
    <w:rsid w:val="007B0643"/>
    <w:rsid w:val="007B09FB"/>
    <w:rsid w:val="007B0A7B"/>
    <w:rsid w:val="007B0ADF"/>
    <w:rsid w:val="007B0E02"/>
    <w:rsid w:val="007B1163"/>
    <w:rsid w:val="007B11F6"/>
    <w:rsid w:val="007B13E1"/>
    <w:rsid w:val="007B1599"/>
    <w:rsid w:val="007B1605"/>
    <w:rsid w:val="007B169A"/>
    <w:rsid w:val="007B17BC"/>
    <w:rsid w:val="007B18D9"/>
    <w:rsid w:val="007B1DAE"/>
    <w:rsid w:val="007B25F3"/>
    <w:rsid w:val="007B2775"/>
    <w:rsid w:val="007B28AB"/>
    <w:rsid w:val="007B297A"/>
    <w:rsid w:val="007B2A20"/>
    <w:rsid w:val="007B2EEE"/>
    <w:rsid w:val="007B2F9F"/>
    <w:rsid w:val="007B32A1"/>
    <w:rsid w:val="007B33B0"/>
    <w:rsid w:val="007B3507"/>
    <w:rsid w:val="007B3514"/>
    <w:rsid w:val="007B3667"/>
    <w:rsid w:val="007B3741"/>
    <w:rsid w:val="007B38F6"/>
    <w:rsid w:val="007B3CBF"/>
    <w:rsid w:val="007B3F2B"/>
    <w:rsid w:val="007B4165"/>
    <w:rsid w:val="007B44FB"/>
    <w:rsid w:val="007B457F"/>
    <w:rsid w:val="007B45BB"/>
    <w:rsid w:val="007B48D9"/>
    <w:rsid w:val="007B49EE"/>
    <w:rsid w:val="007B4A89"/>
    <w:rsid w:val="007B4B44"/>
    <w:rsid w:val="007B4B75"/>
    <w:rsid w:val="007B4C7F"/>
    <w:rsid w:val="007B4CA6"/>
    <w:rsid w:val="007B50C7"/>
    <w:rsid w:val="007B53E3"/>
    <w:rsid w:val="007B567E"/>
    <w:rsid w:val="007B570F"/>
    <w:rsid w:val="007B58F5"/>
    <w:rsid w:val="007B593A"/>
    <w:rsid w:val="007B5A64"/>
    <w:rsid w:val="007B5C20"/>
    <w:rsid w:val="007B5FCB"/>
    <w:rsid w:val="007B6343"/>
    <w:rsid w:val="007B64B8"/>
    <w:rsid w:val="007B6594"/>
    <w:rsid w:val="007B666F"/>
    <w:rsid w:val="007B66DA"/>
    <w:rsid w:val="007B67DF"/>
    <w:rsid w:val="007B6AE7"/>
    <w:rsid w:val="007B6BB3"/>
    <w:rsid w:val="007B6BE8"/>
    <w:rsid w:val="007B6C1D"/>
    <w:rsid w:val="007B6C30"/>
    <w:rsid w:val="007B6E0C"/>
    <w:rsid w:val="007B6E4B"/>
    <w:rsid w:val="007B70B6"/>
    <w:rsid w:val="007B714F"/>
    <w:rsid w:val="007B718F"/>
    <w:rsid w:val="007B72C8"/>
    <w:rsid w:val="007B73FA"/>
    <w:rsid w:val="007B755B"/>
    <w:rsid w:val="007B762F"/>
    <w:rsid w:val="007B7761"/>
    <w:rsid w:val="007B78D1"/>
    <w:rsid w:val="007B7CA1"/>
    <w:rsid w:val="007B7FBC"/>
    <w:rsid w:val="007C0131"/>
    <w:rsid w:val="007C01ED"/>
    <w:rsid w:val="007C01EE"/>
    <w:rsid w:val="007C038C"/>
    <w:rsid w:val="007C03B1"/>
    <w:rsid w:val="007C0681"/>
    <w:rsid w:val="007C06F1"/>
    <w:rsid w:val="007C0AB4"/>
    <w:rsid w:val="007C0AC5"/>
    <w:rsid w:val="007C0FC9"/>
    <w:rsid w:val="007C1081"/>
    <w:rsid w:val="007C11AB"/>
    <w:rsid w:val="007C11C3"/>
    <w:rsid w:val="007C19C8"/>
    <w:rsid w:val="007C1BDB"/>
    <w:rsid w:val="007C1CE7"/>
    <w:rsid w:val="007C1D84"/>
    <w:rsid w:val="007C2099"/>
    <w:rsid w:val="007C20EC"/>
    <w:rsid w:val="007C2661"/>
    <w:rsid w:val="007C26CA"/>
    <w:rsid w:val="007C28A9"/>
    <w:rsid w:val="007C29EC"/>
    <w:rsid w:val="007C2DEE"/>
    <w:rsid w:val="007C2E19"/>
    <w:rsid w:val="007C2E87"/>
    <w:rsid w:val="007C30C2"/>
    <w:rsid w:val="007C3365"/>
    <w:rsid w:val="007C3530"/>
    <w:rsid w:val="007C360C"/>
    <w:rsid w:val="007C3665"/>
    <w:rsid w:val="007C3904"/>
    <w:rsid w:val="007C3A4F"/>
    <w:rsid w:val="007C3C98"/>
    <w:rsid w:val="007C3C99"/>
    <w:rsid w:val="007C3DA8"/>
    <w:rsid w:val="007C3F00"/>
    <w:rsid w:val="007C3F82"/>
    <w:rsid w:val="007C40B4"/>
    <w:rsid w:val="007C4444"/>
    <w:rsid w:val="007C4639"/>
    <w:rsid w:val="007C4648"/>
    <w:rsid w:val="007C46A5"/>
    <w:rsid w:val="007C4783"/>
    <w:rsid w:val="007C4A4A"/>
    <w:rsid w:val="007C5148"/>
    <w:rsid w:val="007C5170"/>
    <w:rsid w:val="007C5240"/>
    <w:rsid w:val="007C5293"/>
    <w:rsid w:val="007C53B5"/>
    <w:rsid w:val="007C550C"/>
    <w:rsid w:val="007C55BB"/>
    <w:rsid w:val="007C5848"/>
    <w:rsid w:val="007C5912"/>
    <w:rsid w:val="007C5AA5"/>
    <w:rsid w:val="007C5AE7"/>
    <w:rsid w:val="007C5C19"/>
    <w:rsid w:val="007C5D09"/>
    <w:rsid w:val="007C5F36"/>
    <w:rsid w:val="007C5FD4"/>
    <w:rsid w:val="007C6149"/>
    <w:rsid w:val="007C61C0"/>
    <w:rsid w:val="007C62CD"/>
    <w:rsid w:val="007C6373"/>
    <w:rsid w:val="007C6620"/>
    <w:rsid w:val="007C69D6"/>
    <w:rsid w:val="007C6A7C"/>
    <w:rsid w:val="007C6D4F"/>
    <w:rsid w:val="007C6E7D"/>
    <w:rsid w:val="007C72C5"/>
    <w:rsid w:val="007C7400"/>
    <w:rsid w:val="007C74C2"/>
    <w:rsid w:val="007C77A0"/>
    <w:rsid w:val="007C78CF"/>
    <w:rsid w:val="007C78F0"/>
    <w:rsid w:val="007C796A"/>
    <w:rsid w:val="007C79B4"/>
    <w:rsid w:val="007C7E95"/>
    <w:rsid w:val="007D0205"/>
    <w:rsid w:val="007D03B6"/>
    <w:rsid w:val="007D0495"/>
    <w:rsid w:val="007D05D9"/>
    <w:rsid w:val="007D0741"/>
    <w:rsid w:val="007D08C8"/>
    <w:rsid w:val="007D0D4A"/>
    <w:rsid w:val="007D1123"/>
    <w:rsid w:val="007D1427"/>
    <w:rsid w:val="007D1597"/>
    <w:rsid w:val="007D15E3"/>
    <w:rsid w:val="007D1620"/>
    <w:rsid w:val="007D1659"/>
    <w:rsid w:val="007D1A4E"/>
    <w:rsid w:val="007D1B0C"/>
    <w:rsid w:val="007D1E08"/>
    <w:rsid w:val="007D1E96"/>
    <w:rsid w:val="007D2561"/>
    <w:rsid w:val="007D26C9"/>
    <w:rsid w:val="007D27D8"/>
    <w:rsid w:val="007D2975"/>
    <w:rsid w:val="007D2CB8"/>
    <w:rsid w:val="007D2E70"/>
    <w:rsid w:val="007D2EAE"/>
    <w:rsid w:val="007D2F9D"/>
    <w:rsid w:val="007D3107"/>
    <w:rsid w:val="007D320C"/>
    <w:rsid w:val="007D326C"/>
    <w:rsid w:val="007D3509"/>
    <w:rsid w:val="007D35E6"/>
    <w:rsid w:val="007D3DEC"/>
    <w:rsid w:val="007D414E"/>
    <w:rsid w:val="007D4545"/>
    <w:rsid w:val="007D46C7"/>
    <w:rsid w:val="007D47FE"/>
    <w:rsid w:val="007D4B17"/>
    <w:rsid w:val="007D4B64"/>
    <w:rsid w:val="007D4C27"/>
    <w:rsid w:val="007D4EB1"/>
    <w:rsid w:val="007D4EB8"/>
    <w:rsid w:val="007D50D8"/>
    <w:rsid w:val="007D5231"/>
    <w:rsid w:val="007D52AB"/>
    <w:rsid w:val="007D53DB"/>
    <w:rsid w:val="007D548B"/>
    <w:rsid w:val="007D55D8"/>
    <w:rsid w:val="007D56C6"/>
    <w:rsid w:val="007D5B52"/>
    <w:rsid w:val="007D5E67"/>
    <w:rsid w:val="007D5E81"/>
    <w:rsid w:val="007D6151"/>
    <w:rsid w:val="007D62A4"/>
    <w:rsid w:val="007D659C"/>
    <w:rsid w:val="007D686F"/>
    <w:rsid w:val="007D6C04"/>
    <w:rsid w:val="007D70A3"/>
    <w:rsid w:val="007D74B0"/>
    <w:rsid w:val="007D7641"/>
    <w:rsid w:val="007D764B"/>
    <w:rsid w:val="007D7684"/>
    <w:rsid w:val="007D7AED"/>
    <w:rsid w:val="007E011D"/>
    <w:rsid w:val="007E012A"/>
    <w:rsid w:val="007E01C7"/>
    <w:rsid w:val="007E023E"/>
    <w:rsid w:val="007E0441"/>
    <w:rsid w:val="007E054B"/>
    <w:rsid w:val="007E068E"/>
    <w:rsid w:val="007E06DA"/>
    <w:rsid w:val="007E0890"/>
    <w:rsid w:val="007E0B03"/>
    <w:rsid w:val="007E0B42"/>
    <w:rsid w:val="007E0C49"/>
    <w:rsid w:val="007E0C6A"/>
    <w:rsid w:val="007E0D71"/>
    <w:rsid w:val="007E100F"/>
    <w:rsid w:val="007E1068"/>
    <w:rsid w:val="007E120C"/>
    <w:rsid w:val="007E122B"/>
    <w:rsid w:val="007E135A"/>
    <w:rsid w:val="007E1556"/>
    <w:rsid w:val="007E15AA"/>
    <w:rsid w:val="007E1875"/>
    <w:rsid w:val="007E1A58"/>
    <w:rsid w:val="007E1AA3"/>
    <w:rsid w:val="007E1B21"/>
    <w:rsid w:val="007E1B89"/>
    <w:rsid w:val="007E1C74"/>
    <w:rsid w:val="007E1DBA"/>
    <w:rsid w:val="007E2313"/>
    <w:rsid w:val="007E2378"/>
    <w:rsid w:val="007E2393"/>
    <w:rsid w:val="007E241A"/>
    <w:rsid w:val="007E2504"/>
    <w:rsid w:val="007E252F"/>
    <w:rsid w:val="007E279F"/>
    <w:rsid w:val="007E2C9A"/>
    <w:rsid w:val="007E3287"/>
    <w:rsid w:val="007E335A"/>
    <w:rsid w:val="007E341C"/>
    <w:rsid w:val="007E3900"/>
    <w:rsid w:val="007E3955"/>
    <w:rsid w:val="007E39D7"/>
    <w:rsid w:val="007E3A20"/>
    <w:rsid w:val="007E3B0C"/>
    <w:rsid w:val="007E3CAA"/>
    <w:rsid w:val="007E3D58"/>
    <w:rsid w:val="007E3DAF"/>
    <w:rsid w:val="007E4263"/>
    <w:rsid w:val="007E43DF"/>
    <w:rsid w:val="007E4505"/>
    <w:rsid w:val="007E45EE"/>
    <w:rsid w:val="007E477B"/>
    <w:rsid w:val="007E47BA"/>
    <w:rsid w:val="007E4A6B"/>
    <w:rsid w:val="007E4AFE"/>
    <w:rsid w:val="007E4D08"/>
    <w:rsid w:val="007E4D99"/>
    <w:rsid w:val="007E4F54"/>
    <w:rsid w:val="007E51AD"/>
    <w:rsid w:val="007E544D"/>
    <w:rsid w:val="007E5607"/>
    <w:rsid w:val="007E56B6"/>
    <w:rsid w:val="007E5859"/>
    <w:rsid w:val="007E59B8"/>
    <w:rsid w:val="007E5CCE"/>
    <w:rsid w:val="007E5D7A"/>
    <w:rsid w:val="007E5F10"/>
    <w:rsid w:val="007E6012"/>
    <w:rsid w:val="007E6202"/>
    <w:rsid w:val="007E6244"/>
    <w:rsid w:val="007E6397"/>
    <w:rsid w:val="007E655F"/>
    <w:rsid w:val="007E66DD"/>
    <w:rsid w:val="007E6879"/>
    <w:rsid w:val="007E68B7"/>
    <w:rsid w:val="007E6994"/>
    <w:rsid w:val="007E6C20"/>
    <w:rsid w:val="007E6CC2"/>
    <w:rsid w:val="007E6DD8"/>
    <w:rsid w:val="007E6DE3"/>
    <w:rsid w:val="007E6E6B"/>
    <w:rsid w:val="007E6EE3"/>
    <w:rsid w:val="007E7187"/>
    <w:rsid w:val="007E724F"/>
    <w:rsid w:val="007E73E7"/>
    <w:rsid w:val="007E7604"/>
    <w:rsid w:val="007E7907"/>
    <w:rsid w:val="007E797E"/>
    <w:rsid w:val="007E79F3"/>
    <w:rsid w:val="007E79FA"/>
    <w:rsid w:val="007E79FB"/>
    <w:rsid w:val="007E7BCD"/>
    <w:rsid w:val="007E7CD8"/>
    <w:rsid w:val="007E7E21"/>
    <w:rsid w:val="007F00BA"/>
    <w:rsid w:val="007F05ED"/>
    <w:rsid w:val="007F0975"/>
    <w:rsid w:val="007F0AB0"/>
    <w:rsid w:val="007F0B40"/>
    <w:rsid w:val="007F16E0"/>
    <w:rsid w:val="007F1718"/>
    <w:rsid w:val="007F1DE3"/>
    <w:rsid w:val="007F1E81"/>
    <w:rsid w:val="007F20F1"/>
    <w:rsid w:val="007F27DD"/>
    <w:rsid w:val="007F28EC"/>
    <w:rsid w:val="007F2A04"/>
    <w:rsid w:val="007F2C21"/>
    <w:rsid w:val="007F2D05"/>
    <w:rsid w:val="007F2EAD"/>
    <w:rsid w:val="007F2F47"/>
    <w:rsid w:val="007F312B"/>
    <w:rsid w:val="007F3180"/>
    <w:rsid w:val="007F3391"/>
    <w:rsid w:val="007F3419"/>
    <w:rsid w:val="007F345C"/>
    <w:rsid w:val="007F372A"/>
    <w:rsid w:val="007F3779"/>
    <w:rsid w:val="007F393E"/>
    <w:rsid w:val="007F3AFC"/>
    <w:rsid w:val="007F3D48"/>
    <w:rsid w:val="007F3E21"/>
    <w:rsid w:val="007F3F1E"/>
    <w:rsid w:val="007F3F44"/>
    <w:rsid w:val="007F3F7A"/>
    <w:rsid w:val="007F43B0"/>
    <w:rsid w:val="007F4592"/>
    <w:rsid w:val="007F45C8"/>
    <w:rsid w:val="007F46EC"/>
    <w:rsid w:val="007F477A"/>
    <w:rsid w:val="007F4C44"/>
    <w:rsid w:val="007F4F8C"/>
    <w:rsid w:val="007F4FB6"/>
    <w:rsid w:val="007F51CE"/>
    <w:rsid w:val="007F51DC"/>
    <w:rsid w:val="007F5397"/>
    <w:rsid w:val="007F5558"/>
    <w:rsid w:val="007F564F"/>
    <w:rsid w:val="007F56B6"/>
    <w:rsid w:val="007F579F"/>
    <w:rsid w:val="007F5983"/>
    <w:rsid w:val="007F5996"/>
    <w:rsid w:val="007F59D5"/>
    <w:rsid w:val="007F5A3E"/>
    <w:rsid w:val="007F5FE7"/>
    <w:rsid w:val="007F60CA"/>
    <w:rsid w:val="007F61A9"/>
    <w:rsid w:val="007F61BD"/>
    <w:rsid w:val="007F653F"/>
    <w:rsid w:val="007F6983"/>
    <w:rsid w:val="007F69F6"/>
    <w:rsid w:val="007F6B9F"/>
    <w:rsid w:val="007F72EC"/>
    <w:rsid w:val="007F7794"/>
    <w:rsid w:val="007F7799"/>
    <w:rsid w:val="007F7808"/>
    <w:rsid w:val="007F7924"/>
    <w:rsid w:val="007F7942"/>
    <w:rsid w:val="007F7AB4"/>
    <w:rsid w:val="008000F3"/>
    <w:rsid w:val="0080014E"/>
    <w:rsid w:val="008003AC"/>
    <w:rsid w:val="008006A1"/>
    <w:rsid w:val="008007EC"/>
    <w:rsid w:val="0080086D"/>
    <w:rsid w:val="008008E2"/>
    <w:rsid w:val="00800D72"/>
    <w:rsid w:val="00800E2B"/>
    <w:rsid w:val="00801003"/>
    <w:rsid w:val="00801105"/>
    <w:rsid w:val="00801562"/>
    <w:rsid w:val="0080158A"/>
    <w:rsid w:val="008015C8"/>
    <w:rsid w:val="00801654"/>
    <w:rsid w:val="008016A6"/>
    <w:rsid w:val="00801B11"/>
    <w:rsid w:val="00801D14"/>
    <w:rsid w:val="00801DCE"/>
    <w:rsid w:val="00801F44"/>
    <w:rsid w:val="0080211B"/>
    <w:rsid w:val="0080215F"/>
    <w:rsid w:val="008022B6"/>
    <w:rsid w:val="0080248A"/>
    <w:rsid w:val="008024AF"/>
    <w:rsid w:val="0080275A"/>
    <w:rsid w:val="00802A10"/>
    <w:rsid w:val="00802C26"/>
    <w:rsid w:val="00803110"/>
    <w:rsid w:val="00803151"/>
    <w:rsid w:val="0080324B"/>
    <w:rsid w:val="008033C9"/>
    <w:rsid w:val="008033E8"/>
    <w:rsid w:val="00803470"/>
    <w:rsid w:val="00803558"/>
    <w:rsid w:val="00803602"/>
    <w:rsid w:val="008036D6"/>
    <w:rsid w:val="00803791"/>
    <w:rsid w:val="00803B66"/>
    <w:rsid w:val="00803F72"/>
    <w:rsid w:val="00804085"/>
    <w:rsid w:val="00804210"/>
    <w:rsid w:val="0080450E"/>
    <w:rsid w:val="0080466F"/>
    <w:rsid w:val="008047B0"/>
    <w:rsid w:val="0080494F"/>
    <w:rsid w:val="00804B37"/>
    <w:rsid w:val="00804B7A"/>
    <w:rsid w:val="00804C3E"/>
    <w:rsid w:val="00804EEA"/>
    <w:rsid w:val="00804FF9"/>
    <w:rsid w:val="00805109"/>
    <w:rsid w:val="008052B0"/>
    <w:rsid w:val="008053C7"/>
    <w:rsid w:val="008058C0"/>
    <w:rsid w:val="0080592D"/>
    <w:rsid w:val="00805957"/>
    <w:rsid w:val="008059EB"/>
    <w:rsid w:val="00805C72"/>
    <w:rsid w:val="00805D0C"/>
    <w:rsid w:val="00805D1B"/>
    <w:rsid w:val="00805F0B"/>
    <w:rsid w:val="00805FAC"/>
    <w:rsid w:val="008065B3"/>
    <w:rsid w:val="00806874"/>
    <w:rsid w:val="00806951"/>
    <w:rsid w:val="00806BB9"/>
    <w:rsid w:val="00806BF1"/>
    <w:rsid w:val="00806D14"/>
    <w:rsid w:val="00806D66"/>
    <w:rsid w:val="00806F63"/>
    <w:rsid w:val="00806F9B"/>
    <w:rsid w:val="00807080"/>
    <w:rsid w:val="00807126"/>
    <w:rsid w:val="0080745C"/>
    <w:rsid w:val="008075E8"/>
    <w:rsid w:val="00807AE4"/>
    <w:rsid w:val="00807DFB"/>
    <w:rsid w:val="0081016C"/>
    <w:rsid w:val="00810337"/>
    <w:rsid w:val="00810511"/>
    <w:rsid w:val="0081066A"/>
    <w:rsid w:val="008106BB"/>
    <w:rsid w:val="0081084D"/>
    <w:rsid w:val="008108EB"/>
    <w:rsid w:val="00810CAA"/>
    <w:rsid w:val="008113A8"/>
    <w:rsid w:val="008114A2"/>
    <w:rsid w:val="00811517"/>
    <w:rsid w:val="00811555"/>
    <w:rsid w:val="0081181E"/>
    <w:rsid w:val="00811829"/>
    <w:rsid w:val="00811885"/>
    <w:rsid w:val="00811C4E"/>
    <w:rsid w:val="00811C6E"/>
    <w:rsid w:val="00811CF4"/>
    <w:rsid w:val="00811D00"/>
    <w:rsid w:val="00811D1D"/>
    <w:rsid w:val="00811E5C"/>
    <w:rsid w:val="0081205D"/>
    <w:rsid w:val="00812066"/>
    <w:rsid w:val="00812169"/>
    <w:rsid w:val="00812367"/>
    <w:rsid w:val="00812666"/>
    <w:rsid w:val="0081271E"/>
    <w:rsid w:val="00812897"/>
    <w:rsid w:val="008129B2"/>
    <w:rsid w:val="00812B44"/>
    <w:rsid w:val="00812E89"/>
    <w:rsid w:val="00812F30"/>
    <w:rsid w:val="00812F40"/>
    <w:rsid w:val="00813227"/>
    <w:rsid w:val="008132FD"/>
    <w:rsid w:val="008133A9"/>
    <w:rsid w:val="0081364F"/>
    <w:rsid w:val="0081373B"/>
    <w:rsid w:val="00813827"/>
    <w:rsid w:val="00813A2B"/>
    <w:rsid w:val="00813CAB"/>
    <w:rsid w:val="00813EDD"/>
    <w:rsid w:val="0081405F"/>
    <w:rsid w:val="008143C0"/>
    <w:rsid w:val="008146ED"/>
    <w:rsid w:val="00814907"/>
    <w:rsid w:val="00814B69"/>
    <w:rsid w:val="00814C5E"/>
    <w:rsid w:val="00814EF9"/>
    <w:rsid w:val="00814FFF"/>
    <w:rsid w:val="00815046"/>
    <w:rsid w:val="0081517E"/>
    <w:rsid w:val="008151A3"/>
    <w:rsid w:val="00815437"/>
    <w:rsid w:val="0081589A"/>
    <w:rsid w:val="00815DB9"/>
    <w:rsid w:val="00816605"/>
    <w:rsid w:val="00816626"/>
    <w:rsid w:val="00816AA9"/>
    <w:rsid w:val="00816D61"/>
    <w:rsid w:val="0081772D"/>
    <w:rsid w:val="0081777C"/>
    <w:rsid w:val="00817906"/>
    <w:rsid w:val="00817B0A"/>
    <w:rsid w:val="00817C2A"/>
    <w:rsid w:val="008201FC"/>
    <w:rsid w:val="008202A9"/>
    <w:rsid w:val="00820432"/>
    <w:rsid w:val="008205CF"/>
    <w:rsid w:val="00820747"/>
    <w:rsid w:val="0082082F"/>
    <w:rsid w:val="00820884"/>
    <w:rsid w:val="00820978"/>
    <w:rsid w:val="00820D40"/>
    <w:rsid w:val="00820E2D"/>
    <w:rsid w:val="00820E44"/>
    <w:rsid w:val="0082105E"/>
    <w:rsid w:val="00821405"/>
    <w:rsid w:val="008215AA"/>
    <w:rsid w:val="00821616"/>
    <w:rsid w:val="008218B8"/>
    <w:rsid w:val="00821990"/>
    <w:rsid w:val="00821B53"/>
    <w:rsid w:val="00821C47"/>
    <w:rsid w:val="0082212C"/>
    <w:rsid w:val="008221CA"/>
    <w:rsid w:val="008221F8"/>
    <w:rsid w:val="00822213"/>
    <w:rsid w:val="00822422"/>
    <w:rsid w:val="00822567"/>
    <w:rsid w:val="0082258D"/>
    <w:rsid w:val="008225DE"/>
    <w:rsid w:val="00822644"/>
    <w:rsid w:val="0082267E"/>
    <w:rsid w:val="00822A2E"/>
    <w:rsid w:val="00822B1B"/>
    <w:rsid w:val="00822FB9"/>
    <w:rsid w:val="00822FD8"/>
    <w:rsid w:val="00822FDF"/>
    <w:rsid w:val="008233D7"/>
    <w:rsid w:val="008235A7"/>
    <w:rsid w:val="00823639"/>
    <w:rsid w:val="00823A54"/>
    <w:rsid w:val="00823E7F"/>
    <w:rsid w:val="00823ECB"/>
    <w:rsid w:val="00824233"/>
    <w:rsid w:val="00824256"/>
    <w:rsid w:val="008243E8"/>
    <w:rsid w:val="00824497"/>
    <w:rsid w:val="008244D9"/>
    <w:rsid w:val="0082453E"/>
    <w:rsid w:val="0082462B"/>
    <w:rsid w:val="008247F1"/>
    <w:rsid w:val="00824930"/>
    <w:rsid w:val="00824FAA"/>
    <w:rsid w:val="008252E3"/>
    <w:rsid w:val="0082539D"/>
    <w:rsid w:val="0082546F"/>
    <w:rsid w:val="00825559"/>
    <w:rsid w:val="008257DE"/>
    <w:rsid w:val="008257E7"/>
    <w:rsid w:val="00825809"/>
    <w:rsid w:val="008258FF"/>
    <w:rsid w:val="00825985"/>
    <w:rsid w:val="00825AF9"/>
    <w:rsid w:val="00825B6F"/>
    <w:rsid w:val="00825D06"/>
    <w:rsid w:val="0082603B"/>
    <w:rsid w:val="00826175"/>
    <w:rsid w:val="008261C9"/>
    <w:rsid w:val="0082623F"/>
    <w:rsid w:val="008262A7"/>
    <w:rsid w:val="008262D9"/>
    <w:rsid w:val="0082647F"/>
    <w:rsid w:val="00826541"/>
    <w:rsid w:val="0082669D"/>
    <w:rsid w:val="0082669F"/>
    <w:rsid w:val="00826785"/>
    <w:rsid w:val="00826807"/>
    <w:rsid w:val="008268C0"/>
    <w:rsid w:val="008269B4"/>
    <w:rsid w:val="00826AE6"/>
    <w:rsid w:val="00826ED2"/>
    <w:rsid w:val="00826F27"/>
    <w:rsid w:val="008276C5"/>
    <w:rsid w:val="008276E9"/>
    <w:rsid w:val="0082786B"/>
    <w:rsid w:val="008278C7"/>
    <w:rsid w:val="008279CA"/>
    <w:rsid w:val="00827AD4"/>
    <w:rsid w:val="00827B80"/>
    <w:rsid w:val="00827C05"/>
    <w:rsid w:val="00827C51"/>
    <w:rsid w:val="00827EA8"/>
    <w:rsid w:val="00830251"/>
    <w:rsid w:val="0083044E"/>
    <w:rsid w:val="008304F1"/>
    <w:rsid w:val="00830566"/>
    <w:rsid w:val="00830612"/>
    <w:rsid w:val="008307EC"/>
    <w:rsid w:val="00830F89"/>
    <w:rsid w:val="008313A2"/>
    <w:rsid w:val="008313E8"/>
    <w:rsid w:val="00831613"/>
    <w:rsid w:val="008316CD"/>
    <w:rsid w:val="00831800"/>
    <w:rsid w:val="0083182D"/>
    <w:rsid w:val="008318D0"/>
    <w:rsid w:val="00831C7B"/>
    <w:rsid w:val="00831E64"/>
    <w:rsid w:val="00831E7F"/>
    <w:rsid w:val="00831EC9"/>
    <w:rsid w:val="008320D5"/>
    <w:rsid w:val="0083227E"/>
    <w:rsid w:val="0083228B"/>
    <w:rsid w:val="0083236C"/>
    <w:rsid w:val="00832449"/>
    <w:rsid w:val="008325E6"/>
    <w:rsid w:val="00832774"/>
    <w:rsid w:val="008329A0"/>
    <w:rsid w:val="00832AD4"/>
    <w:rsid w:val="00832B09"/>
    <w:rsid w:val="00832C31"/>
    <w:rsid w:val="00833010"/>
    <w:rsid w:val="0083315B"/>
    <w:rsid w:val="00833475"/>
    <w:rsid w:val="0083349F"/>
    <w:rsid w:val="008337E1"/>
    <w:rsid w:val="00833942"/>
    <w:rsid w:val="00833A3E"/>
    <w:rsid w:val="00833A4D"/>
    <w:rsid w:val="00833BCA"/>
    <w:rsid w:val="00833D7A"/>
    <w:rsid w:val="00833E1A"/>
    <w:rsid w:val="00833F87"/>
    <w:rsid w:val="00834220"/>
    <w:rsid w:val="0083453E"/>
    <w:rsid w:val="008345ED"/>
    <w:rsid w:val="008349A7"/>
    <w:rsid w:val="00834A32"/>
    <w:rsid w:val="00834E37"/>
    <w:rsid w:val="0083523A"/>
    <w:rsid w:val="008354A7"/>
    <w:rsid w:val="00835570"/>
    <w:rsid w:val="00835648"/>
    <w:rsid w:val="008358B1"/>
    <w:rsid w:val="008358C5"/>
    <w:rsid w:val="008358DE"/>
    <w:rsid w:val="00835BEE"/>
    <w:rsid w:val="00835C4F"/>
    <w:rsid w:val="00835E27"/>
    <w:rsid w:val="00835F38"/>
    <w:rsid w:val="00835FA0"/>
    <w:rsid w:val="008360A7"/>
    <w:rsid w:val="00836206"/>
    <w:rsid w:val="00836413"/>
    <w:rsid w:val="00836567"/>
    <w:rsid w:val="00836613"/>
    <w:rsid w:val="00836822"/>
    <w:rsid w:val="00836882"/>
    <w:rsid w:val="00836976"/>
    <w:rsid w:val="00836C24"/>
    <w:rsid w:val="00836E08"/>
    <w:rsid w:val="0083743A"/>
    <w:rsid w:val="0083744A"/>
    <w:rsid w:val="0083759C"/>
    <w:rsid w:val="00837654"/>
    <w:rsid w:val="0083771D"/>
    <w:rsid w:val="00837833"/>
    <w:rsid w:val="00837856"/>
    <w:rsid w:val="008379A4"/>
    <w:rsid w:val="00837A15"/>
    <w:rsid w:val="00837E29"/>
    <w:rsid w:val="00837ECE"/>
    <w:rsid w:val="008400D7"/>
    <w:rsid w:val="00840481"/>
    <w:rsid w:val="008404CD"/>
    <w:rsid w:val="00840522"/>
    <w:rsid w:val="00840597"/>
    <w:rsid w:val="008405DF"/>
    <w:rsid w:val="00840771"/>
    <w:rsid w:val="00840796"/>
    <w:rsid w:val="008408B0"/>
    <w:rsid w:val="00840C54"/>
    <w:rsid w:val="00840CC5"/>
    <w:rsid w:val="008410AF"/>
    <w:rsid w:val="008410BE"/>
    <w:rsid w:val="00841260"/>
    <w:rsid w:val="008414FD"/>
    <w:rsid w:val="008419DE"/>
    <w:rsid w:val="00841A21"/>
    <w:rsid w:val="00841BCF"/>
    <w:rsid w:val="00841C45"/>
    <w:rsid w:val="00841E45"/>
    <w:rsid w:val="008421C5"/>
    <w:rsid w:val="00842273"/>
    <w:rsid w:val="00842986"/>
    <w:rsid w:val="008429EE"/>
    <w:rsid w:val="00842AE0"/>
    <w:rsid w:val="00842CE2"/>
    <w:rsid w:val="00842D52"/>
    <w:rsid w:val="0084339E"/>
    <w:rsid w:val="00843433"/>
    <w:rsid w:val="008434A0"/>
    <w:rsid w:val="008435A4"/>
    <w:rsid w:val="0084360C"/>
    <w:rsid w:val="008436A1"/>
    <w:rsid w:val="008437FA"/>
    <w:rsid w:val="00843913"/>
    <w:rsid w:val="008439C2"/>
    <w:rsid w:val="00843ED0"/>
    <w:rsid w:val="00844159"/>
    <w:rsid w:val="008441E2"/>
    <w:rsid w:val="008441EE"/>
    <w:rsid w:val="0084420C"/>
    <w:rsid w:val="0084423B"/>
    <w:rsid w:val="008443F0"/>
    <w:rsid w:val="008444C0"/>
    <w:rsid w:val="008446EF"/>
    <w:rsid w:val="008446F5"/>
    <w:rsid w:val="008447D7"/>
    <w:rsid w:val="008448E3"/>
    <w:rsid w:val="00844D43"/>
    <w:rsid w:val="00844D7F"/>
    <w:rsid w:val="00844DA7"/>
    <w:rsid w:val="00844E0C"/>
    <w:rsid w:val="00844EA2"/>
    <w:rsid w:val="008452BA"/>
    <w:rsid w:val="0084531B"/>
    <w:rsid w:val="00845328"/>
    <w:rsid w:val="00845B46"/>
    <w:rsid w:val="00845E03"/>
    <w:rsid w:val="00845FEA"/>
    <w:rsid w:val="00846352"/>
    <w:rsid w:val="0084650E"/>
    <w:rsid w:val="0084653A"/>
    <w:rsid w:val="00846646"/>
    <w:rsid w:val="0084667A"/>
    <w:rsid w:val="0084674D"/>
    <w:rsid w:val="00846AE2"/>
    <w:rsid w:val="00846B19"/>
    <w:rsid w:val="0084787F"/>
    <w:rsid w:val="008478ED"/>
    <w:rsid w:val="008478FD"/>
    <w:rsid w:val="008479F7"/>
    <w:rsid w:val="00850220"/>
    <w:rsid w:val="008503B2"/>
    <w:rsid w:val="00850538"/>
    <w:rsid w:val="00850711"/>
    <w:rsid w:val="00850A82"/>
    <w:rsid w:val="00850DF8"/>
    <w:rsid w:val="0085121D"/>
    <w:rsid w:val="0085126C"/>
    <w:rsid w:val="0085129F"/>
    <w:rsid w:val="008514C7"/>
    <w:rsid w:val="008515DE"/>
    <w:rsid w:val="00851603"/>
    <w:rsid w:val="008517C6"/>
    <w:rsid w:val="00851897"/>
    <w:rsid w:val="00851BA8"/>
    <w:rsid w:val="00851C33"/>
    <w:rsid w:val="00851E2E"/>
    <w:rsid w:val="00851E48"/>
    <w:rsid w:val="00851F36"/>
    <w:rsid w:val="0085209A"/>
    <w:rsid w:val="00852188"/>
    <w:rsid w:val="00852223"/>
    <w:rsid w:val="0085223C"/>
    <w:rsid w:val="00852336"/>
    <w:rsid w:val="00852355"/>
    <w:rsid w:val="0085289F"/>
    <w:rsid w:val="00852B39"/>
    <w:rsid w:val="0085305E"/>
    <w:rsid w:val="008530AC"/>
    <w:rsid w:val="00853459"/>
    <w:rsid w:val="008535C4"/>
    <w:rsid w:val="0085374C"/>
    <w:rsid w:val="00853764"/>
    <w:rsid w:val="00853950"/>
    <w:rsid w:val="00853C29"/>
    <w:rsid w:val="00853F2B"/>
    <w:rsid w:val="00853FF7"/>
    <w:rsid w:val="00854629"/>
    <w:rsid w:val="0085468E"/>
    <w:rsid w:val="00854815"/>
    <w:rsid w:val="0085483B"/>
    <w:rsid w:val="00854A05"/>
    <w:rsid w:val="00854A15"/>
    <w:rsid w:val="00854A99"/>
    <w:rsid w:val="00854AE4"/>
    <w:rsid w:val="00854C42"/>
    <w:rsid w:val="00854D1A"/>
    <w:rsid w:val="00854E2B"/>
    <w:rsid w:val="00854E86"/>
    <w:rsid w:val="0085522D"/>
    <w:rsid w:val="0085536F"/>
    <w:rsid w:val="00855914"/>
    <w:rsid w:val="00855FF0"/>
    <w:rsid w:val="00856125"/>
    <w:rsid w:val="0085613D"/>
    <w:rsid w:val="00856339"/>
    <w:rsid w:val="0085645F"/>
    <w:rsid w:val="0085668E"/>
    <w:rsid w:val="00856696"/>
    <w:rsid w:val="0085692C"/>
    <w:rsid w:val="008569DC"/>
    <w:rsid w:val="00856AFE"/>
    <w:rsid w:val="00856CF0"/>
    <w:rsid w:val="00856DC7"/>
    <w:rsid w:val="00856E32"/>
    <w:rsid w:val="0085702A"/>
    <w:rsid w:val="00857321"/>
    <w:rsid w:val="00857538"/>
    <w:rsid w:val="008575B9"/>
    <w:rsid w:val="0085768C"/>
    <w:rsid w:val="00857900"/>
    <w:rsid w:val="00857A18"/>
    <w:rsid w:val="00857C3C"/>
    <w:rsid w:val="00857E88"/>
    <w:rsid w:val="00857FB0"/>
    <w:rsid w:val="008600B9"/>
    <w:rsid w:val="0086044F"/>
    <w:rsid w:val="00860480"/>
    <w:rsid w:val="008604A3"/>
    <w:rsid w:val="008604B6"/>
    <w:rsid w:val="008604EC"/>
    <w:rsid w:val="00860624"/>
    <w:rsid w:val="008607FC"/>
    <w:rsid w:val="00860820"/>
    <w:rsid w:val="00860829"/>
    <w:rsid w:val="008608B4"/>
    <w:rsid w:val="00860971"/>
    <w:rsid w:val="00860DB8"/>
    <w:rsid w:val="00860DCD"/>
    <w:rsid w:val="00860DCE"/>
    <w:rsid w:val="00860E12"/>
    <w:rsid w:val="008613B8"/>
    <w:rsid w:val="008617CA"/>
    <w:rsid w:val="0086194F"/>
    <w:rsid w:val="00861C90"/>
    <w:rsid w:val="00861CB7"/>
    <w:rsid w:val="008622BA"/>
    <w:rsid w:val="008625F6"/>
    <w:rsid w:val="008626B7"/>
    <w:rsid w:val="008627E1"/>
    <w:rsid w:val="0086280D"/>
    <w:rsid w:val="00862B21"/>
    <w:rsid w:val="00862D34"/>
    <w:rsid w:val="00862D61"/>
    <w:rsid w:val="00862D92"/>
    <w:rsid w:val="00863048"/>
    <w:rsid w:val="00863240"/>
    <w:rsid w:val="00863448"/>
    <w:rsid w:val="008634E4"/>
    <w:rsid w:val="00863C94"/>
    <w:rsid w:val="008641DC"/>
    <w:rsid w:val="008643BD"/>
    <w:rsid w:val="008643C0"/>
    <w:rsid w:val="00864476"/>
    <w:rsid w:val="008646A6"/>
    <w:rsid w:val="00864CE9"/>
    <w:rsid w:val="00864E12"/>
    <w:rsid w:val="00864E8A"/>
    <w:rsid w:val="008652B4"/>
    <w:rsid w:val="008654A4"/>
    <w:rsid w:val="008656D9"/>
    <w:rsid w:val="008657E5"/>
    <w:rsid w:val="00865891"/>
    <w:rsid w:val="00865A91"/>
    <w:rsid w:val="00865DBF"/>
    <w:rsid w:val="00865E8A"/>
    <w:rsid w:val="00865EB4"/>
    <w:rsid w:val="00865F1F"/>
    <w:rsid w:val="00865F33"/>
    <w:rsid w:val="0086637F"/>
    <w:rsid w:val="008663DE"/>
    <w:rsid w:val="008664E7"/>
    <w:rsid w:val="00866774"/>
    <w:rsid w:val="00866982"/>
    <w:rsid w:val="00866BAC"/>
    <w:rsid w:val="00866BBB"/>
    <w:rsid w:val="00866F63"/>
    <w:rsid w:val="00867007"/>
    <w:rsid w:val="008670CD"/>
    <w:rsid w:val="008671D7"/>
    <w:rsid w:val="008672E4"/>
    <w:rsid w:val="00867760"/>
    <w:rsid w:val="00867903"/>
    <w:rsid w:val="00867C8E"/>
    <w:rsid w:val="00867CD4"/>
    <w:rsid w:val="00867E73"/>
    <w:rsid w:val="00870013"/>
    <w:rsid w:val="008701B6"/>
    <w:rsid w:val="0087027E"/>
    <w:rsid w:val="008702E1"/>
    <w:rsid w:val="00870D90"/>
    <w:rsid w:val="00870E25"/>
    <w:rsid w:val="008711EB"/>
    <w:rsid w:val="00871457"/>
    <w:rsid w:val="008718EE"/>
    <w:rsid w:val="0087196A"/>
    <w:rsid w:val="00871D11"/>
    <w:rsid w:val="00871EAF"/>
    <w:rsid w:val="00871ECB"/>
    <w:rsid w:val="00872011"/>
    <w:rsid w:val="0087208F"/>
    <w:rsid w:val="008722D0"/>
    <w:rsid w:val="00872372"/>
    <w:rsid w:val="008724E8"/>
    <w:rsid w:val="00872A03"/>
    <w:rsid w:val="00872A0A"/>
    <w:rsid w:val="00872B8D"/>
    <w:rsid w:val="00872CD3"/>
    <w:rsid w:val="00872CDF"/>
    <w:rsid w:val="00872FCD"/>
    <w:rsid w:val="0087303E"/>
    <w:rsid w:val="008730F4"/>
    <w:rsid w:val="0087355E"/>
    <w:rsid w:val="00873575"/>
    <w:rsid w:val="008736AD"/>
    <w:rsid w:val="00873DC6"/>
    <w:rsid w:val="00874164"/>
    <w:rsid w:val="008742FB"/>
    <w:rsid w:val="00874380"/>
    <w:rsid w:val="0087444B"/>
    <w:rsid w:val="0087454F"/>
    <w:rsid w:val="0087477A"/>
    <w:rsid w:val="0087493C"/>
    <w:rsid w:val="00874979"/>
    <w:rsid w:val="008749CF"/>
    <w:rsid w:val="00874AF0"/>
    <w:rsid w:val="00874BAC"/>
    <w:rsid w:val="00874BED"/>
    <w:rsid w:val="00874C0D"/>
    <w:rsid w:val="00874EE4"/>
    <w:rsid w:val="00875140"/>
    <w:rsid w:val="0087531A"/>
    <w:rsid w:val="008759AB"/>
    <w:rsid w:val="00875E15"/>
    <w:rsid w:val="00876074"/>
    <w:rsid w:val="00876110"/>
    <w:rsid w:val="008762F2"/>
    <w:rsid w:val="00876430"/>
    <w:rsid w:val="008766DB"/>
    <w:rsid w:val="0087689A"/>
    <w:rsid w:val="0087696E"/>
    <w:rsid w:val="00876FC2"/>
    <w:rsid w:val="008770FA"/>
    <w:rsid w:val="0087727A"/>
    <w:rsid w:val="008776B8"/>
    <w:rsid w:val="0087782C"/>
    <w:rsid w:val="008779FA"/>
    <w:rsid w:val="00877D83"/>
    <w:rsid w:val="00877F50"/>
    <w:rsid w:val="008800AF"/>
    <w:rsid w:val="00880208"/>
    <w:rsid w:val="008802E4"/>
    <w:rsid w:val="00880425"/>
    <w:rsid w:val="008804E0"/>
    <w:rsid w:val="00880535"/>
    <w:rsid w:val="00880675"/>
    <w:rsid w:val="0088072C"/>
    <w:rsid w:val="008807BC"/>
    <w:rsid w:val="008808AD"/>
    <w:rsid w:val="008808D2"/>
    <w:rsid w:val="00880ECA"/>
    <w:rsid w:val="00881080"/>
    <w:rsid w:val="00881174"/>
    <w:rsid w:val="008812CB"/>
    <w:rsid w:val="00881429"/>
    <w:rsid w:val="0088150C"/>
    <w:rsid w:val="008815A6"/>
    <w:rsid w:val="00881758"/>
    <w:rsid w:val="00881778"/>
    <w:rsid w:val="0088185B"/>
    <w:rsid w:val="00881B5F"/>
    <w:rsid w:val="00881DDA"/>
    <w:rsid w:val="00881F22"/>
    <w:rsid w:val="00881F6F"/>
    <w:rsid w:val="00881FB4"/>
    <w:rsid w:val="0088219E"/>
    <w:rsid w:val="00882495"/>
    <w:rsid w:val="0088292D"/>
    <w:rsid w:val="008829F8"/>
    <w:rsid w:val="00882B33"/>
    <w:rsid w:val="00882D57"/>
    <w:rsid w:val="00882EAF"/>
    <w:rsid w:val="008830B3"/>
    <w:rsid w:val="008830BA"/>
    <w:rsid w:val="00883A7A"/>
    <w:rsid w:val="00884264"/>
    <w:rsid w:val="00884457"/>
    <w:rsid w:val="00884891"/>
    <w:rsid w:val="00884A2E"/>
    <w:rsid w:val="00884AAD"/>
    <w:rsid w:val="00884C24"/>
    <w:rsid w:val="00885354"/>
    <w:rsid w:val="008853E4"/>
    <w:rsid w:val="00885415"/>
    <w:rsid w:val="008856EB"/>
    <w:rsid w:val="0088589F"/>
    <w:rsid w:val="00885BF9"/>
    <w:rsid w:val="00886176"/>
    <w:rsid w:val="008863C9"/>
    <w:rsid w:val="00886620"/>
    <w:rsid w:val="00886756"/>
    <w:rsid w:val="008867DE"/>
    <w:rsid w:val="008869A3"/>
    <w:rsid w:val="00886D5B"/>
    <w:rsid w:val="00886E10"/>
    <w:rsid w:val="008872CE"/>
    <w:rsid w:val="008872DD"/>
    <w:rsid w:val="0088739D"/>
    <w:rsid w:val="0088768D"/>
    <w:rsid w:val="008878FF"/>
    <w:rsid w:val="00887BE8"/>
    <w:rsid w:val="00887C47"/>
    <w:rsid w:val="00887CAC"/>
    <w:rsid w:val="00887E3A"/>
    <w:rsid w:val="00890188"/>
    <w:rsid w:val="008905B9"/>
    <w:rsid w:val="008908C7"/>
    <w:rsid w:val="008908CB"/>
    <w:rsid w:val="008908E1"/>
    <w:rsid w:val="00890918"/>
    <w:rsid w:val="00890954"/>
    <w:rsid w:val="00890B0A"/>
    <w:rsid w:val="00890F26"/>
    <w:rsid w:val="00891228"/>
    <w:rsid w:val="00891292"/>
    <w:rsid w:val="008912A9"/>
    <w:rsid w:val="008912F7"/>
    <w:rsid w:val="008915CC"/>
    <w:rsid w:val="0089170D"/>
    <w:rsid w:val="0089172A"/>
    <w:rsid w:val="0089173D"/>
    <w:rsid w:val="008918FA"/>
    <w:rsid w:val="0089191B"/>
    <w:rsid w:val="0089195E"/>
    <w:rsid w:val="00891A0B"/>
    <w:rsid w:val="00891B95"/>
    <w:rsid w:val="00891BFF"/>
    <w:rsid w:val="00891E9C"/>
    <w:rsid w:val="00891FCE"/>
    <w:rsid w:val="008920A2"/>
    <w:rsid w:val="008921BA"/>
    <w:rsid w:val="00892376"/>
    <w:rsid w:val="0089240A"/>
    <w:rsid w:val="0089253C"/>
    <w:rsid w:val="00892556"/>
    <w:rsid w:val="00892755"/>
    <w:rsid w:val="00892802"/>
    <w:rsid w:val="00892970"/>
    <w:rsid w:val="00892E40"/>
    <w:rsid w:val="00892EE8"/>
    <w:rsid w:val="0089311C"/>
    <w:rsid w:val="008933C5"/>
    <w:rsid w:val="0089345A"/>
    <w:rsid w:val="00893878"/>
    <w:rsid w:val="008938D5"/>
    <w:rsid w:val="008938DE"/>
    <w:rsid w:val="00894003"/>
    <w:rsid w:val="008941DB"/>
    <w:rsid w:val="00894298"/>
    <w:rsid w:val="0089482F"/>
    <w:rsid w:val="0089492D"/>
    <w:rsid w:val="00894DB4"/>
    <w:rsid w:val="00894FA3"/>
    <w:rsid w:val="00894FD7"/>
    <w:rsid w:val="00895030"/>
    <w:rsid w:val="0089503B"/>
    <w:rsid w:val="0089504E"/>
    <w:rsid w:val="0089519C"/>
    <w:rsid w:val="00895339"/>
    <w:rsid w:val="00895396"/>
    <w:rsid w:val="008953E3"/>
    <w:rsid w:val="008956E6"/>
    <w:rsid w:val="00895760"/>
    <w:rsid w:val="008957A2"/>
    <w:rsid w:val="00895C89"/>
    <w:rsid w:val="00896163"/>
    <w:rsid w:val="00896215"/>
    <w:rsid w:val="00896350"/>
    <w:rsid w:val="00896379"/>
    <w:rsid w:val="00896389"/>
    <w:rsid w:val="008963D2"/>
    <w:rsid w:val="008963D9"/>
    <w:rsid w:val="008963FB"/>
    <w:rsid w:val="00896A7C"/>
    <w:rsid w:val="00896F40"/>
    <w:rsid w:val="0089707F"/>
    <w:rsid w:val="008970E0"/>
    <w:rsid w:val="008971FD"/>
    <w:rsid w:val="008973F7"/>
    <w:rsid w:val="0089748C"/>
    <w:rsid w:val="008974DD"/>
    <w:rsid w:val="00897636"/>
    <w:rsid w:val="0089768C"/>
    <w:rsid w:val="00897697"/>
    <w:rsid w:val="00897754"/>
    <w:rsid w:val="00897A35"/>
    <w:rsid w:val="00897D82"/>
    <w:rsid w:val="00897F6B"/>
    <w:rsid w:val="008A0065"/>
    <w:rsid w:val="008A00B4"/>
    <w:rsid w:val="008A02CC"/>
    <w:rsid w:val="008A0334"/>
    <w:rsid w:val="008A037E"/>
    <w:rsid w:val="008A052E"/>
    <w:rsid w:val="008A0982"/>
    <w:rsid w:val="008A09EC"/>
    <w:rsid w:val="008A0ADD"/>
    <w:rsid w:val="008A0D81"/>
    <w:rsid w:val="008A0E11"/>
    <w:rsid w:val="008A0ED7"/>
    <w:rsid w:val="008A0EDA"/>
    <w:rsid w:val="008A1037"/>
    <w:rsid w:val="008A10A3"/>
    <w:rsid w:val="008A1153"/>
    <w:rsid w:val="008A1250"/>
    <w:rsid w:val="008A13EC"/>
    <w:rsid w:val="008A149B"/>
    <w:rsid w:val="008A14BF"/>
    <w:rsid w:val="008A1890"/>
    <w:rsid w:val="008A1910"/>
    <w:rsid w:val="008A1B34"/>
    <w:rsid w:val="008A1D01"/>
    <w:rsid w:val="008A1D76"/>
    <w:rsid w:val="008A1E7B"/>
    <w:rsid w:val="008A2276"/>
    <w:rsid w:val="008A24FA"/>
    <w:rsid w:val="008A2A96"/>
    <w:rsid w:val="008A2AC0"/>
    <w:rsid w:val="008A2C22"/>
    <w:rsid w:val="008A2CE0"/>
    <w:rsid w:val="008A30CB"/>
    <w:rsid w:val="008A3124"/>
    <w:rsid w:val="008A3384"/>
    <w:rsid w:val="008A34A9"/>
    <w:rsid w:val="008A35CC"/>
    <w:rsid w:val="008A3618"/>
    <w:rsid w:val="008A39B4"/>
    <w:rsid w:val="008A3B11"/>
    <w:rsid w:val="008A3BF2"/>
    <w:rsid w:val="008A3D1B"/>
    <w:rsid w:val="008A3D4B"/>
    <w:rsid w:val="008A3E08"/>
    <w:rsid w:val="008A401D"/>
    <w:rsid w:val="008A4122"/>
    <w:rsid w:val="008A417F"/>
    <w:rsid w:val="008A4313"/>
    <w:rsid w:val="008A43B9"/>
    <w:rsid w:val="008A4516"/>
    <w:rsid w:val="008A4687"/>
    <w:rsid w:val="008A47AE"/>
    <w:rsid w:val="008A4853"/>
    <w:rsid w:val="008A4A74"/>
    <w:rsid w:val="008A4C58"/>
    <w:rsid w:val="008A4CBC"/>
    <w:rsid w:val="008A4CFF"/>
    <w:rsid w:val="008A4D54"/>
    <w:rsid w:val="008A4DB7"/>
    <w:rsid w:val="008A4EEE"/>
    <w:rsid w:val="008A5018"/>
    <w:rsid w:val="008A5136"/>
    <w:rsid w:val="008A5137"/>
    <w:rsid w:val="008A525F"/>
    <w:rsid w:val="008A52AC"/>
    <w:rsid w:val="008A5378"/>
    <w:rsid w:val="008A5414"/>
    <w:rsid w:val="008A549D"/>
    <w:rsid w:val="008A574F"/>
    <w:rsid w:val="008A57B6"/>
    <w:rsid w:val="008A59E8"/>
    <w:rsid w:val="008A5D67"/>
    <w:rsid w:val="008A6272"/>
    <w:rsid w:val="008A6332"/>
    <w:rsid w:val="008A6345"/>
    <w:rsid w:val="008A6802"/>
    <w:rsid w:val="008A6A7D"/>
    <w:rsid w:val="008A6B8C"/>
    <w:rsid w:val="008A6D12"/>
    <w:rsid w:val="008A6E5A"/>
    <w:rsid w:val="008A725D"/>
    <w:rsid w:val="008A7351"/>
    <w:rsid w:val="008A773D"/>
    <w:rsid w:val="008A7B60"/>
    <w:rsid w:val="008B0063"/>
    <w:rsid w:val="008B012B"/>
    <w:rsid w:val="008B017F"/>
    <w:rsid w:val="008B01D4"/>
    <w:rsid w:val="008B033D"/>
    <w:rsid w:val="008B079D"/>
    <w:rsid w:val="008B08DD"/>
    <w:rsid w:val="008B0A46"/>
    <w:rsid w:val="008B164D"/>
    <w:rsid w:val="008B16D1"/>
    <w:rsid w:val="008B1A98"/>
    <w:rsid w:val="008B1C0C"/>
    <w:rsid w:val="008B212E"/>
    <w:rsid w:val="008B22AF"/>
    <w:rsid w:val="008B2403"/>
    <w:rsid w:val="008B2462"/>
    <w:rsid w:val="008B26EB"/>
    <w:rsid w:val="008B26EE"/>
    <w:rsid w:val="008B283E"/>
    <w:rsid w:val="008B2907"/>
    <w:rsid w:val="008B2A83"/>
    <w:rsid w:val="008B2D5C"/>
    <w:rsid w:val="008B31A5"/>
    <w:rsid w:val="008B338A"/>
    <w:rsid w:val="008B344B"/>
    <w:rsid w:val="008B346D"/>
    <w:rsid w:val="008B371A"/>
    <w:rsid w:val="008B3890"/>
    <w:rsid w:val="008B3C92"/>
    <w:rsid w:val="008B3E86"/>
    <w:rsid w:val="008B3ED9"/>
    <w:rsid w:val="008B3EF2"/>
    <w:rsid w:val="008B41FE"/>
    <w:rsid w:val="008B42A9"/>
    <w:rsid w:val="008B4750"/>
    <w:rsid w:val="008B4A6D"/>
    <w:rsid w:val="008B4B1F"/>
    <w:rsid w:val="008B4B33"/>
    <w:rsid w:val="008B4C0F"/>
    <w:rsid w:val="008B4E9A"/>
    <w:rsid w:val="008B51E7"/>
    <w:rsid w:val="008B5359"/>
    <w:rsid w:val="008B54FD"/>
    <w:rsid w:val="008B55D9"/>
    <w:rsid w:val="008B579D"/>
    <w:rsid w:val="008B5A5A"/>
    <w:rsid w:val="008B5AC5"/>
    <w:rsid w:val="008B5B13"/>
    <w:rsid w:val="008B5CF2"/>
    <w:rsid w:val="008B5D65"/>
    <w:rsid w:val="008B5E38"/>
    <w:rsid w:val="008B5F46"/>
    <w:rsid w:val="008B606F"/>
    <w:rsid w:val="008B60B0"/>
    <w:rsid w:val="008B616A"/>
    <w:rsid w:val="008B61B7"/>
    <w:rsid w:val="008B62AE"/>
    <w:rsid w:val="008B635D"/>
    <w:rsid w:val="008B6423"/>
    <w:rsid w:val="008B6572"/>
    <w:rsid w:val="008B668C"/>
    <w:rsid w:val="008B67A8"/>
    <w:rsid w:val="008B6A70"/>
    <w:rsid w:val="008B6AE7"/>
    <w:rsid w:val="008B6BD7"/>
    <w:rsid w:val="008B6E0F"/>
    <w:rsid w:val="008B6E2F"/>
    <w:rsid w:val="008B6EEF"/>
    <w:rsid w:val="008B6FF8"/>
    <w:rsid w:val="008B707A"/>
    <w:rsid w:val="008B714C"/>
    <w:rsid w:val="008B7465"/>
    <w:rsid w:val="008B770C"/>
    <w:rsid w:val="008B77B9"/>
    <w:rsid w:val="008B7924"/>
    <w:rsid w:val="008B795B"/>
    <w:rsid w:val="008B7C90"/>
    <w:rsid w:val="008B7E02"/>
    <w:rsid w:val="008C038A"/>
    <w:rsid w:val="008C067F"/>
    <w:rsid w:val="008C0694"/>
    <w:rsid w:val="008C0A5C"/>
    <w:rsid w:val="008C0AAE"/>
    <w:rsid w:val="008C0D47"/>
    <w:rsid w:val="008C0D7E"/>
    <w:rsid w:val="008C0E2A"/>
    <w:rsid w:val="008C0E9B"/>
    <w:rsid w:val="008C10E7"/>
    <w:rsid w:val="008C112D"/>
    <w:rsid w:val="008C11FF"/>
    <w:rsid w:val="008C1209"/>
    <w:rsid w:val="008C1440"/>
    <w:rsid w:val="008C145B"/>
    <w:rsid w:val="008C1485"/>
    <w:rsid w:val="008C1664"/>
    <w:rsid w:val="008C16E1"/>
    <w:rsid w:val="008C16FD"/>
    <w:rsid w:val="008C1763"/>
    <w:rsid w:val="008C17C8"/>
    <w:rsid w:val="008C1A98"/>
    <w:rsid w:val="008C1EE5"/>
    <w:rsid w:val="008C1F14"/>
    <w:rsid w:val="008C202E"/>
    <w:rsid w:val="008C2231"/>
    <w:rsid w:val="008C245D"/>
    <w:rsid w:val="008C263B"/>
    <w:rsid w:val="008C2866"/>
    <w:rsid w:val="008C2A65"/>
    <w:rsid w:val="008C2C01"/>
    <w:rsid w:val="008C2C6B"/>
    <w:rsid w:val="008C2D8D"/>
    <w:rsid w:val="008C2F0A"/>
    <w:rsid w:val="008C2F19"/>
    <w:rsid w:val="008C3101"/>
    <w:rsid w:val="008C31FD"/>
    <w:rsid w:val="008C3241"/>
    <w:rsid w:val="008C331E"/>
    <w:rsid w:val="008C36C9"/>
    <w:rsid w:val="008C37CA"/>
    <w:rsid w:val="008C4096"/>
    <w:rsid w:val="008C410F"/>
    <w:rsid w:val="008C4146"/>
    <w:rsid w:val="008C4783"/>
    <w:rsid w:val="008C486B"/>
    <w:rsid w:val="008C4959"/>
    <w:rsid w:val="008C4B41"/>
    <w:rsid w:val="008C4CDA"/>
    <w:rsid w:val="008C4D38"/>
    <w:rsid w:val="008C5131"/>
    <w:rsid w:val="008C531C"/>
    <w:rsid w:val="008C53F1"/>
    <w:rsid w:val="008C5675"/>
    <w:rsid w:val="008C57EE"/>
    <w:rsid w:val="008C59A2"/>
    <w:rsid w:val="008C5AF9"/>
    <w:rsid w:val="008C5B07"/>
    <w:rsid w:val="008C645E"/>
    <w:rsid w:val="008C64C9"/>
    <w:rsid w:val="008C6580"/>
    <w:rsid w:val="008C6709"/>
    <w:rsid w:val="008C69EF"/>
    <w:rsid w:val="008C6B30"/>
    <w:rsid w:val="008C6C87"/>
    <w:rsid w:val="008C6CDE"/>
    <w:rsid w:val="008C6CF9"/>
    <w:rsid w:val="008C6D6B"/>
    <w:rsid w:val="008C6F2F"/>
    <w:rsid w:val="008C70C4"/>
    <w:rsid w:val="008C74D9"/>
    <w:rsid w:val="008C7602"/>
    <w:rsid w:val="008C77AC"/>
    <w:rsid w:val="008C78FD"/>
    <w:rsid w:val="008C7C02"/>
    <w:rsid w:val="008C7EA4"/>
    <w:rsid w:val="008C7EEC"/>
    <w:rsid w:val="008D0472"/>
    <w:rsid w:val="008D05D2"/>
    <w:rsid w:val="008D05E9"/>
    <w:rsid w:val="008D0664"/>
    <w:rsid w:val="008D07F9"/>
    <w:rsid w:val="008D0802"/>
    <w:rsid w:val="008D0803"/>
    <w:rsid w:val="008D0B7C"/>
    <w:rsid w:val="008D0EB8"/>
    <w:rsid w:val="008D1172"/>
    <w:rsid w:val="008D136B"/>
    <w:rsid w:val="008D1473"/>
    <w:rsid w:val="008D1611"/>
    <w:rsid w:val="008D166B"/>
    <w:rsid w:val="008D1971"/>
    <w:rsid w:val="008D1AED"/>
    <w:rsid w:val="008D1B1B"/>
    <w:rsid w:val="008D1DB9"/>
    <w:rsid w:val="008D2484"/>
    <w:rsid w:val="008D261E"/>
    <w:rsid w:val="008D27AC"/>
    <w:rsid w:val="008D27E2"/>
    <w:rsid w:val="008D299E"/>
    <w:rsid w:val="008D2D58"/>
    <w:rsid w:val="008D2D8A"/>
    <w:rsid w:val="008D2E91"/>
    <w:rsid w:val="008D31BD"/>
    <w:rsid w:val="008D31DB"/>
    <w:rsid w:val="008D3405"/>
    <w:rsid w:val="008D34CA"/>
    <w:rsid w:val="008D3810"/>
    <w:rsid w:val="008D38CC"/>
    <w:rsid w:val="008D395A"/>
    <w:rsid w:val="008D398F"/>
    <w:rsid w:val="008D3A93"/>
    <w:rsid w:val="008D3C20"/>
    <w:rsid w:val="008D3E4D"/>
    <w:rsid w:val="008D3E6B"/>
    <w:rsid w:val="008D3EE9"/>
    <w:rsid w:val="008D3F07"/>
    <w:rsid w:val="008D3FF2"/>
    <w:rsid w:val="008D410E"/>
    <w:rsid w:val="008D4172"/>
    <w:rsid w:val="008D4253"/>
    <w:rsid w:val="008D437C"/>
    <w:rsid w:val="008D4619"/>
    <w:rsid w:val="008D47A8"/>
    <w:rsid w:val="008D4A79"/>
    <w:rsid w:val="008D4AD0"/>
    <w:rsid w:val="008D4B6E"/>
    <w:rsid w:val="008D4C90"/>
    <w:rsid w:val="008D4D22"/>
    <w:rsid w:val="008D4DBB"/>
    <w:rsid w:val="008D4F82"/>
    <w:rsid w:val="008D5071"/>
    <w:rsid w:val="008D561F"/>
    <w:rsid w:val="008D5621"/>
    <w:rsid w:val="008D5712"/>
    <w:rsid w:val="008D574D"/>
    <w:rsid w:val="008D5AD9"/>
    <w:rsid w:val="008D5B46"/>
    <w:rsid w:val="008D5D12"/>
    <w:rsid w:val="008D5D52"/>
    <w:rsid w:val="008D5D9A"/>
    <w:rsid w:val="008D6020"/>
    <w:rsid w:val="008D61A5"/>
    <w:rsid w:val="008D6218"/>
    <w:rsid w:val="008D63A7"/>
    <w:rsid w:val="008D649B"/>
    <w:rsid w:val="008D65A5"/>
    <w:rsid w:val="008D6799"/>
    <w:rsid w:val="008D6977"/>
    <w:rsid w:val="008D6B20"/>
    <w:rsid w:val="008D6F7F"/>
    <w:rsid w:val="008D758A"/>
    <w:rsid w:val="008D77E8"/>
    <w:rsid w:val="008D7A48"/>
    <w:rsid w:val="008D7B3E"/>
    <w:rsid w:val="008D7EAA"/>
    <w:rsid w:val="008E027F"/>
    <w:rsid w:val="008E02A5"/>
    <w:rsid w:val="008E049C"/>
    <w:rsid w:val="008E04BA"/>
    <w:rsid w:val="008E0752"/>
    <w:rsid w:val="008E1137"/>
    <w:rsid w:val="008E1294"/>
    <w:rsid w:val="008E13D2"/>
    <w:rsid w:val="008E13FE"/>
    <w:rsid w:val="008E16B5"/>
    <w:rsid w:val="008E1730"/>
    <w:rsid w:val="008E1824"/>
    <w:rsid w:val="008E1A34"/>
    <w:rsid w:val="008E1A60"/>
    <w:rsid w:val="008E1B12"/>
    <w:rsid w:val="008E1DDA"/>
    <w:rsid w:val="008E1EA7"/>
    <w:rsid w:val="008E2168"/>
    <w:rsid w:val="008E2212"/>
    <w:rsid w:val="008E27A2"/>
    <w:rsid w:val="008E2913"/>
    <w:rsid w:val="008E2A0F"/>
    <w:rsid w:val="008E2E32"/>
    <w:rsid w:val="008E2EFA"/>
    <w:rsid w:val="008E33B9"/>
    <w:rsid w:val="008E3446"/>
    <w:rsid w:val="008E35A4"/>
    <w:rsid w:val="008E37FA"/>
    <w:rsid w:val="008E3912"/>
    <w:rsid w:val="008E39C5"/>
    <w:rsid w:val="008E3D12"/>
    <w:rsid w:val="008E3F1D"/>
    <w:rsid w:val="008E42AC"/>
    <w:rsid w:val="008E4662"/>
    <w:rsid w:val="008E4AEC"/>
    <w:rsid w:val="008E4B88"/>
    <w:rsid w:val="008E4CD0"/>
    <w:rsid w:val="008E4D19"/>
    <w:rsid w:val="008E4E42"/>
    <w:rsid w:val="008E4E49"/>
    <w:rsid w:val="008E52EF"/>
    <w:rsid w:val="008E5746"/>
    <w:rsid w:val="008E57F3"/>
    <w:rsid w:val="008E5999"/>
    <w:rsid w:val="008E59CD"/>
    <w:rsid w:val="008E5B06"/>
    <w:rsid w:val="008E5B0E"/>
    <w:rsid w:val="008E5B39"/>
    <w:rsid w:val="008E5CF2"/>
    <w:rsid w:val="008E5E33"/>
    <w:rsid w:val="008E5E70"/>
    <w:rsid w:val="008E5FCE"/>
    <w:rsid w:val="008E60DD"/>
    <w:rsid w:val="008E620E"/>
    <w:rsid w:val="008E647B"/>
    <w:rsid w:val="008E659C"/>
    <w:rsid w:val="008E683C"/>
    <w:rsid w:val="008E6995"/>
    <w:rsid w:val="008E6EB3"/>
    <w:rsid w:val="008E746F"/>
    <w:rsid w:val="008E759E"/>
    <w:rsid w:val="008E7631"/>
    <w:rsid w:val="008E7A85"/>
    <w:rsid w:val="008E7CED"/>
    <w:rsid w:val="008E7DF4"/>
    <w:rsid w:val="008E7E7F"/>
    <w:rsid w:val="008E7E84"/>
    <w:rsid w:val="008E7FA9"/>
    <w:rsid w:val="008E7FFA"/>
    <w:rsid w:val="008F0015"/>
    <w:rsid w:val="008F006E"/>
    <w:rsid w:val="008F015B"/>
    <w:rsid w:val="008F01DD"/>
    <w:rsid w:val="008F0390"/>
    <w:rsid w:val="008F04FA"/>
    <w:rsid w:val="008F07B6"/>
    <w:rsid w:val="008F07CE"/>
    <w:rsid w:val="008F07ED"/>
    <w:rsid w:val="008F0B55"/>
    <w:rsid w:val="008F0CF4"/>
    <w:rsid w:val="008F0EE6"/>
    <w:rsid w:val="008F0F05"/>
    <w:rsid w:val="008F1009"/>
    <w:rsid w:val="008F142E"/>
    <w:rsid w:val="008F16E8"/>
    <w:rsid w:val="008F1780"/>
    <w:rsid w:val="008F1C59"/>
    <w:rsid w:val="008F1D1D"/>
    <w:rsid w:val="008F1F3B"/>
    <w:rsid w:val="008F246F"/>
    <w:rsid w:val="008F25F9"/>
    <w:rsid w:val="008F2680"/>
    <w:rsid w:val="008F2BB4"/>
    <w:rsid w:val="008F2CEE"/>
    <w:rsid w:val="008F2D9F"/>
    <w:rsid w:val="008F2DEC"/>
    <w:rsid w:val="008F2E3C"/>
    <w:rsid w:val="008F2F2C"/>
    <w:rsid w:val="008F31AD"/>
    <w:rsid w:val="008F31F9"/>
    <w:rsid w:val="008F33D5"/>
    <w:rsid w:val="008F3800"/>
    <w:rsid w:val="008F3825"/>
    <w:rsid w:val="008F3940"/>
    <w:rsid w:val="008F39CF"/>
    <w:rsid w:val="008F3C25"/>
    <w:rsid w:val="008F3C82"/>
    <w:rsid w:val="008F3CB9"/>
    <w:rsid w:val="008F4192"/>
    <w:rsid w:val="008F431A"/>
    <w:rsid w:val="008F444C"/>
    <w:rsid w:val="008F4668"/>
    <w:rsid w:val="008F4832"/>
    <w:rsid w:val="008F49BD"/>
    <w:rsid w:val="008F4A91"/>
    <w:rsid w:val="008F4B54"/>
    <w:rsid w:val="008F4E1D"/>
    <w:rsid w:val="008F4E61"/>
    <w:rsid w:val="008F4EE7"/>
    <w:rsid w:val="008F5288"/>
    <w:rsid w:val="008F52CF"/>
    <w:rsid w:val="008F53C1"/>
    <w:rsid w:val="008F5577"/>
    <w:rsid w:val="008F5A58"/>
    <w:rsid w:val="008F5AD5"/>
    <w:rsid w:val="008F5C7C"/>
    <w:rsid w:val="008F5E33"/>
    <w:rsid w:val="008F5E73"/>
    <w:rsid w:val="008F60FA"/>
    <w:rsid w:val="008F63A1"/>
    <w:rsid w:val="008F660A"/>
    <w:rsid w:val="008F6761"/>
    <w:rsid w:val="008F6912"/>
    <w:rsid w:val="008F6A4B"/>
    <w:rsid w:val="008F6F02"/>
    <w:rsid w:val="008F7080"/>
    <w:rsid w:val="008F72E7"/>
    <w:rsid w:val="008F7572"/>
    <w:rsid w:val="008F7BAC"/>
    <w:rsid w:val="008F7C30"/>
    <w:rsid w:val="008F7CF7"/>
    <w:rsid w:val="008F7D4A"/>
    <w:rsid w:val="008F7F2E"/>
    <w:rsid w:val="00900082"/>
    <w:rsid w:val="00900110"/>
    <w:rsid w:val="009005EC"/>
    <w:rsid w:val="009007B9"/>
    <w:rsid w:val="009008C5"/>
    <w:rsid w:val="00900A3B"/>
    <w:rsid w:val="00900BF9"/>
    <w:rsid w:val="00900D7D"/>
    <w:rsid w:val="00900D88"/>
    <w:rsid w:val="00900E4A"/>
    <w:rsid w:val="009010F3"/>
    <w:rsid w:val="00901274"/>
    <w:rsid w:val="0090134D"/>
    <w:rsid w:val="00901585"/>
    <w:rsid w:val="00901935"/>
    <w:rsid w:val="00901949"/>
    <w:rsid w:val="00901A7D"/>
    <w:rsid w:val="00901B45"/>
    <w:rsid w:val="00901B47"/>
    <w:rsid w:val="0090214C"/>
    <w:rsid w:val="0090215D"/>
    <w:rsid w:val="00902454"/>
    <w:rsid w:val="00902546"/>
    <w:rsid w:val="0090265E"/>
    <w:rsid w:val="00902B96"/>
    <w:rsid w:val="00902BF7"/>
    <w:rsid w:val="0090309A"/>
    <w:rsid w:val="0090316F"/>
    <w:rsid w:val="00903401"/>
    <w:rsid w:val="009036D2"/>
    <w:rsid w:val="009037FD"/>
    <w:rsid w:val="009039F2"/>
    <w:rsid w:val="00903A89"/>
    <w:rsid w:val="00903ABF"/>
    <w:rsid w:val="00903ED4"/>
    <w:rsid w:val="00903FFA"/>
    <w:rsid w:val="009040CC"/>
    <w:rsid w:val="00904962"/>
    <w:rsid w:val="00904AE6"/>
    <w:rsid w:val="00904BCA"/>
    <w:rsid w:val="00904D01"/>
    <w:rsid w:val="00904F6C"/>
    <w:rsid w:val="00905149"/>
    <w:rsid w:val="009055A4"/>
    <w:rsid w:val="00905650"/>
    <w:rsid w:val="009056B4"/>
    <w:rsid w:val="00905C79"/>
    <w:rsid w:val="00905E9B"/>
    <w:rsid w:val="00906339"/>
    <w:rsid w:val="0090645C"/>
    <w:rsid w:val="0090672E"/>
    <w:rsid w:val="009067F3"/>
    <w:rsid w:val="00906B20"/>
    <w:rsid w:val="00906B6A"/>
    <w:rsid w:val="0090728F"/>
    <w:rsid w:val="00907389"/>
    <w:rsid w:val="009074A8"/>
    <w:rsid w:val="0090757B"/>
    <w:rsid w:val="009075C6"/>
    <w:rsid w:val="009079D6"/>
    <w:rsid w:val="00907A84"/>
    <w:rsid w:val="00907AB3"/>
    <w:rsid w:val="00907CEC"/>
    <w:rsid w:val="00907E90"/>
    <w:rsid w:val="00907F06"/>
    <w:rsid w:val="0091000A"/>
    <w:rsid w:val="00910186"/>
    <w:rsid w:val="00910281"/>
    <w:rsid w:val="009102D7"/>
    <w:rsid w:val="009106D6"/>
    <w:rsid w:val="00910712"/>
    <w:rsid w:val="00910829"/>
    <w:rsid w:val="00910A0D"/>
    <w:rsid w:val="00910F0F"/>
    <w:rsid w:val="009110B0"/>
    <w:rsid w:val="00911283"/>
    <w:rsid w:val="009112B2"/>
    <w:rsid w:val="009112E7"/>
    <w:rsid w:val="009114F1"/>
    <w:rsid w:val="00911610"/>
    <w:rsid w:val="009116A3"/>
    <w:rsid w:val="009117FB"/>
    <w:rsid w:val="00911967"/>
    <w:rsid w:val="00911A68"/>
    <w:rsid w:val="00912020"/>
    <w:rsid w:val="00912191"/>
    <w:rsid w:val="009124D1"/>
    <w:rsid w:val="009128F3"/>
    <w:rsid w:val="00912925"/>
    <w:rsid w:val="00912992"/>
    <w:rsid w:val="00912D78"/>
    <w:rsid w:val="00912E2F"/>
    <w:rsid w:val="00913039"/>
    <w:rsid w:val="00913352"/>
    <w:rsid w:val="00913419"/>
    <w:rsid w:val="0091349E"/>
    <w:rsid w:val="0091358D"/>
    <w:rsid w:val="00913702"/>
    <w:rsid w:val="0091374C"/>
    <w:rsid w:val="00913761"/>
    <w:rsid w:val="00913DDD"/>
    <w:rsid w:val="00913F11"/>
    <w:rsid w:val="00913FFC"/>
    <w:rsid w:val="00914055"/>
    <w:rsid w:val="00914200"/>
    <w:rsid w:val="009144A7"/>
    <w:rsid w:val="0091467E"/>
    <w:rsid w:val="009146DF"/>
    <w:rsid w:val="0091481D"/>
    <w:rsid w:val="009148C4"/>
    <w:rsid w:val="0091495D"/>
    <w:rsid w:val="00914A0F"/>
    <w:rsid w:val="00914D66"/>
    <w:rsid w:val="00914DA7"/>
    <w:rsid w:val="00914DC7"/>
    <w:rsid w:val="009150CF"/>
    <w:rsid w:val="0091520A"/>
    <w:rsid w:val="0091525B"/>
    <w:rsid w:val="0091525D"/>
    <w:rsid w:val="009152DB"/>
    <w:rsid w:val="0091530A"/>
    <w:rsid w:val="009154CE"/>
    <w:rsid w:val="00915551"/>
    <w:rsid w:val="00915621"/>
    <w:rsid w:val="0091579A"/>
    <w:rsid w:val="00915821"/>
    <w:rsid w:val="0091584C"/>
    <w:rsid w:val="00915B6F"/>
    <w:rsid w:val="00915B9F"/>
    <w:rsid w:val="00915F72"/>
    <w:rsid w:val="00915F80"/>
    <w:rsid w:val="00915FC2"/>
    <w:rsid w:val="00915FDC"/>
    <w:rsid w:val="00916141"/>
    <w:rsid w:val="00916160"/>
    <w:rsid w:val="009161FD"/>
    <w:rsid w:val="00916421"/>
    <w:rsid w:val="00916783"/>
    <w:rsid w:val="00916809"/>
    <w:rsid w:val="009168E5"/>
    <w:rsid w:val="00916A07"/>
    <w:rsid w:val="00916C1E"/>
    <w:rsid w:val="00916DF8"/>
    <w:rsid w:val="00917133"/>
    <w:rsid w:val="0091728E"/>
    <w:rsid w:val="00917438"/>
    <w:rsid w:val="009175D4"/>
    <w:rsid w:val="00917667"/>
    <w:rsid w:val="00917890"/>
    <w:rsid w:val="00917D1E"/>
    <w:rsid w:val="00920066"/>
    <w:rsid w:val="00920159"/>
    <w:rsid w:val="009203CC"/>
    <w:rsid w:val="009206BC"/>
    <w:rsid w:val="0092079B"/>
    <w:rsid w:val="00920A63"/>
    <w:rsid w:val="00920B56"/>
    <w:rsid w:val="00920B71"/>
    <w:rsid w:val="00920BC8"/>
    <w:rsid w:val="00920D92"/>
    <w:rsid w:val="00920E0F"/>
    <w:rsid w:val="00920F16"/>
    <w:rsid w:val="0092103F"/>
    <w:rsid w:val="0092114A"/>
    <w:rsid w:val="009213F7"/>
    <w:rsid w:val="0092147F"/>
    <w:rsid w:val="009215A5"/>
    <w:rsid w:val="0092164A"/>
    <w:rsid w:val="0092180A"/>
    <w:rsid w:val="0092189F"/>
    <w:rsid w:val="00921A9D"/>
    <w:rsid w:val="00921BDF"/>
    <w:rsid w:val="00922152"/>
    <w:rsid w:val="00922200"/>
    <w:rsid w:val="00922402"/>
    <w:rsid w:val="00922489"/>
    <w:rsid w:val="0092259E"/>
    <w:rsid w:val="0092260A"/>
    <w:rsid w:val="00922673"/>
    <w:rsid w:val="0092278C"/>
    <w:rsid w:val="00922B9D"/>
    <w:rsid w:val="00922E7F"/>
    <w:rsid w:val="00922FEC"/>
    <w:rsid w:val="0092310D"/>
    <w:rsid w:val="00923154"/>
    <w:rsid w:val="00923269"/>
    <w:rsid w:val="009235CF"/>
    <w:rsid w:val="00923600"/>
    <w:rsid w:val="00923843"/>
    <w:rsid w:val="00923853"/>
    <w:rsid w:val="009238F2"/>
    <w:rsid w:val="00923A4B"/>
    <w:rsid w:val="00923A77"/>
    <w:rsid w:val="00923B89"/>
    <w:rsid w:val="00923BDA"/>
    <w:rsid w:val="00923FCC"/>
    <w:rsid w:val="00924140"/>
    <w:rsid w:val="0092426B"/>
    <w:rsid w:val="00924832"/>
    <w:rsid w:val="00924A1D"/>
    <w:rsid w:val="00924A35"/>
    <w:rsid w:val="00924AEF"/>
    <w:rsid w:val="00924DCE"/>
    <w:rsid w:val="00924E09"/>
    <w:rsid w:val="00924E9E"/>
    <w:rsid w:val="00924EFE"/>
    <w:rsid w:val="0092565E"/>
    <w:rsid w:val="009256C9"/>
    <w:rsid w:val="009259C8"/>
    <w:rsid w:val="00925B64"/>
    <w:rsid w:val="00925B76"/>
    <w:rsid w:val="00925BD1"/>
    <w:rsid w:val="00925D8A"/>
    <w:rsid w:val="00925D95"/>
    <w:rsid w:val="00925F68"/>
    <w:rsid w:val="00926097"/>
    <w:rsid w:val="0092613B"/>
    <w:rsid w:val="009262B5"/>
    <w:rsid w:val="0092630F"/>
    <w:rsid w:val="00926343"/>
    <w:rsid w:val="009263F3"/>
    <w:rsid w:val="0092653F"/>
    <w:rsid w:val="0092689C"/>
    <w:rsid w:val="009269BE"/>
    <w:rsid w:val="009269EB"/>
    <w:rsid w:val="00926AAA"/>
    <w:rsid w:val="00926C85"/>
    <w:rsid w:val="00926DA1"/>
    <w:rsid w:val="00926DA3"/>
    <w:rsid w:val="00926E24"/>
    <w:rsid w:val="00926EE2"/>
    <w:rsid w:val="0092701D"/>
    <w:rsid w:val="009271F8"/>
    <w:rsid w:val="00927715"/>
    <w:rsid w:val="00927849"/>
    <w:rsid w:val="009279A5"/>
    <w:rsid w:val="00927A00"/>
    <w:rsid w:val="00927A07"/>
    <w:rsid w:val="00927A40"/>
    <w:rsid w:val="00927B42"/>
    <w:rsid w:val="00927F60"/>
    <w:rsid w:val="00930254"/>
    <w:rsid w:val="00930337"/>
    <w:rsid w:val="00930599"/>
    <w:rsid w:val="009305B2"/>
    <w:rsid w:val="00930A4D"/>
    <w:rsid w:val="00930AD7"/>
    <w:rsid w:val="00930B63"/>
    <w:rsid w:val="00930EA6"/>
    <w:rsid w:val="00930F23"/>
    <w:rsid w:val="009312E0"/>
    <w:rsid w:val="00931321"/>
    <w:rsid w:val="009314E2"/>
    <w:rsid w:val="0093156F"/>
    <w:rsid w:val="00931599"/>
    <w:rsid w:val="009315E3"/>
    <w:rsid w:val="00931702"/>
    <w:rsid w:val="0093180C"/>
    <w:rsid w:val="00931865"/>
    <w:rsid w:val="00931965"/>
    <w:rsid w:val="00931982"/>
    <w:rsid w:val="00931C69"/>
    <w:rsid w:val="00931DAF"/>
    <w:rsid w:val="00932046"/>
    <w:rsid w:val="009323D0"/>
    <w:rsid w:val="0093251E"/>
    <w:rsid w:val="009325C4"/>
    <w:rsid w:val="009325EA"/>
    <w:rsid w:val="00932663"/>
    <w:rsid w:val="00932B65"/>
    <w:rsid w:val="00932BF0"/>
    <w:rsid w:val="00932DA9"/>
    <w:rsid w:val="00932DE9"/>
    <w:rsid w:val="0093309F"/>
    <w:rsid w:val="009330B6"/>
    <w:rsid w:val="009330E7"/>
    <w:rsid w:val="009330FC"/>
    <w:rsid w:val="00933240"/>
    <w:rsid w:val="00933473"/>
    <w:rsid w:val="0093355D"/>
    <w:rsid w:val="00933656"/>
    <w:rsid w:val="009337B5"/>
    <w:rsid w:val="009339D2"/>
    <w:rsid w:val="009339F4"/>
    <w:rsid w:val="00933A8E"/>
    <w:rsid w:val="009342CB"/>
    <w:rsid w:val="009343AE"/>
    <w:rsid w:val="00934438"/>
    <w:rsid w:val="00934488"/>
    <w:rsid w:val="009349C7"/>
    <w:rsid w:val="00934B4A"/>
    <w:rsid w:val="00934D86"/>
    <w:rsid w:val="009352B7"/>
    <w:rsid w:val="00935424"/>
    <w:rsid w:val="009354EA"/>
    <w:rsid w:val="0093567B"/>
    <w:rsid w:val="009356A9"/>
    <w:rsid w:val="0093593F"/>
    <w:rsid w:val="00935AFC"/>
    <w:rsid w:val="00935D94"/>
    <w:rsid w:val="00935EA1"/>
    <w:rsid w:val="00935FA2"/>
    <w:rsid w:val="0093603E"/>
    <w:rsid w:val="00936064"/>
    <w:rsid w:val="009361BA"/>
    <w:rsid w:val="009361F5"/>
    <w:rsid w:val="00936249"/>
    <w:rsid w:val="009363AF"/>
    <w:rsid w:val="00936453"/>
    <w:rsid w:val="009367B3"/>
    <w:rsid w:val="00936C28"/>
    <w:rsid w:val="00936CA5"/>
    <w:rsid w:val="00936E85"/>
    <w:rsid w:val="00936F64"/>
    <w:rsid w:val="009371D7"/>
    <w:rsid w:val="0093727A"/>
    <w:rsid w:val="009372D1"/>
    <w:rsid w:val="00937395"/>
    <w:rsid w:val="00937587"/>
    <w:rsid w:val="009376D7"/>
    <w:rsid w:val="009377AA"/>
    <w:rsid w:val="00937825"/>
    <w:rsid w:val="009379B5"/>
    <w:rsid w:val="009379ED"/>
    <w:rsid w:val="00937B21"/>
    <w:rsid w:val="00937E0C"/>
    <w:rsid w:val="00940159"/>
    <w:rsid w:val="00940494"/>
    <w:rsid w:val="0094059A"/>
    <w:rsid w:val="009405BE"/>
    <w:rsid w:val="00940A60"/>
    <w:rsid w:val="00940EC5"/>
    <w:rsid w:val="00941149"/>
    <w:rsid w:val="009411A9"/>
    <w:rsid w:val="00941384"/>
    <w:rsid w:val="00941386"/>
    <w:rsid w:val="0094157C"/>
    <w:rsid w:val="0094161A"/>
    <w:rsid w:val="0094177E"/>
    <w:rsid w:val="009417E4"/>
    <w:rsid w:val="00941A3E"/>
    <w:rsid w:val="00941AB3"/>
    <w:rsid w:val="00942403"/>
    <w:rsid w:val="00942418"/>
    <w:rsid w:val="0094264A"/>
    <w:rsid w:val="00942658"/>
    <w:rsid w:val="0094290A"/>
    <w:rsid w:val="009429A1"/>
    <w:rsid w:val="00942BE8"/>
    <w:rsid w:val="00942CDE"/>
    <w:rsid w:val="00942EED"/>
    <w:rsid w:val="0094333E"/>
    <w:rsid w:val="00943462"/>
    <w:rsid w:val="009435B9"/>
    <w:rsid w:val="009436CE"/>
    <w:rsid w:val="009438CE"/>
    <w:rsid w:val="009439C7"/>
    <w:rsid w:val="00943EA5"/>
    <w:rsid w:val="00943EB7"/>
    <w:rsid w:val="00943F3A"/>
    <w:rsid w:val="00944443"/>
    <w:rsid w:val="0094444B"/>
    <w:rsid w:val="0094448D"/>
    <w:rsid w:val="009444F0"/>
    <w:rsid w:val="009445B4"/>
    <w:rsid w:val="00944840"/>
    <w:rsid w:val="009448D0"/>
    <w:rsid w:val="00944A59"/>
    <w:rsid w:val="00944A96"/>
    <w:rsid w:val="00944B50"/>
    <w:rsid w:val="00944C8B"/>
    <w:rsid w:val="00944CDE"/>
    <w:rsid w:val="00944CED"/>
    <w:rsid w:val="00944CEF"/>
    <w:rsid w:val="00944E91"/>
    <w:rsid w:val="00945267"/>
    <w:rsid w:val="0094533B"/>
    <w:rsid w:val="009458E2"/>
    <w:rsid w:val="00945B81"/>
    <w:rsid w:val="00945D2F"/>
    <w:rsid w:val="00945E75"/>
    <w:rsid w:val="00945EAE"/>
    <w:rsid w:val="00946013"/>
    <w:rsid w:val="0094656F"/>
    <w:rsid w:val="0094666B"/>
    <w:rsid w:val="0094666F"/>
    <w:rsid w:val="009469D4"/>
    <w:rsid w:val="00946C5D"/>
    <w:rsid w:val="00946CAA"/>
    <w:rsid w:val="00946E32"/>
    <w:rsid w:val="00946EF6"/>
    <w:rsid w:val="0094703F"/>
    <w:rsid w:val="00947300"/>
    <w:rsid w:val="00947425"/>
    <w:rsid w:val="009474BF"/>
    <w:rsid w:val="009475FF"/>
    <w:rsid w:val="00947621"/>
    <w:rsid w:val="0094764C"/>
    <w:rsid w:val="009478F2"/>
    <w:rsid w:val="00947964"/>
    <w:rsid w:val="00947A5C"/>
    <w:rsid w:val="00947D08"/>
    <w:rsid w:val="00947DA8"/>
    <w:rsid w:val="00947DB7"/>
    <w:rsid w:val="00947EA0"/>
    <w:rsid w:val="00947FED"/>
    <w:rsid w:val="009501A3"/>
    <w:rsid w:val="009501DE"/>
    <w:rsid w:val="00950371"/>
    <w:rsid w:val="0095052F"/>
    <w:rsid w:val="00950583"/>
    <w:rsid w:val="0095059D"/>
    <w:rsid w:val="009506ED"/>
    <w:rsid w:val="009508C8"/>
    <w:rsid w:val="00950B39"/>
    <w:rsid w:val="00950BF1"/>
    <w:rsid w:val="00950C06"/>
    <w:rsid w:val="00950E77"/>
    <w:rsid w:val="00950FA9"/>
    <w:rsid w:val="009511C2"/>
    <w:rsid w:val="00951322"/>
    <w:rsid w:val="0095161B"/>
    <w:rsid w:val="00951645"/>
    <w:rsid w:val="00951FB0"/>
    <w:rsid w:val="0095214B"/>
    <w:rsid w:val="009523F3"/>
    <w:rsid w:val="00952540"/>
    <w:rsid w:val="009526EB"/>
    <w:rsid w:val="00952977"/>
    <w:rsid w:val="00952AB7"/>
    <w:rsid w:val="00952C09"/>
    <w:rsid w:val="00952E0C"/>
    <w:rsid w:val="00952FF0"/>
    <w:rsid w:val="00953211"/>
    <w:rsid w:val="0095353E"/>
    <w:rsid w:val="00953657"/>
    <w:rsid w:val="0095376A"/>
    <w:rsid w:val="009537FD"/>
    <w:rsid w:val="00953839"/>
    <w:rsid w:val="00953A1E"/>
    <w:rsid w:val="00953BB6"/>
    <w:rsid w:val="00953CF5"/>
    <w:rsid w:val="00953DDE"/>
    <w:rsid w:val="00954037"/>
    <w:rsid w:val="00954199"/>
    <w:rsid w:val="0095419A"/>
    <w:rsid w:val="009542CC"/>
    <w:rsid w:val="00954ADD"/>
    <w:rsid w:val="00954CBC"/>
    <w:rsid w:val="00955140"/>
    <w:rsid w:val="00955185"/>
    <w:rsid w:val="009553B9"/>
    <w:rsid w:val="00955650"/>
    <w:rsid w:val="00955763"/>
    <w:rsid w:val="0095594F"/>
    <w:rsid w:val="00955DC1"/>
    <w:rsid w:val="0095614A"/>
    <w:rsid w:val="009561DD"/>
    <w:rsid w:val="009562A0"/>
    <w:rsid w:val="00956441"/>
    <w:rsid w:val="009565C2"/>
    <w:rsid w:val="009566A3"/>
    <w:rsid w:val="00956A1A"/>
    <w:rsid w:val="00956FD0"/>
    <w:rsid w:val="0095705D"/>
    <w:rsid w:val="0095731C"/>
    <w:rsid w:val="00957332"/>
    <w:rsid w:val="00957343"/>
    <w:rsid w:val="009574EB"/>
    <w:rsid w:val="0095752D"/>
    <w:rsid w:val="00957606"/>
    <w:rsid w:val="00957650"/>
    <w:rsid w:val="00957772"/>
    <w:rsid w:val="00957A8A"/>
    <w:rsid w:val="00957E45"/>
    <w:rsid w:val="00957F4F"/>
    <w:rsid w:val="009601CB"/>
    <w:rsid w:val="009602F4"/>
    <w:rsid w:val="00960402"/>
    <w:rsid w:val="00960437"/>
    <w:rsid w:val="009606C2"/>
    <w:rsid w:val="00960BDD"/>
    <w:rsid w:val="00960C19"/>
    <w:rsid w:val="00960C45"/>
    <w:rsid w:val="00961547"/>
    <w:rsid w:val="009616C2"/>
    <w:rsid w:val="009617F9"/>
    <w:rsid w:val="00961867"/>
    <w:rsid w:val="00961874"/>
    <w:rsid w:val="00961959"/>
    <w:rsid w:val="00961967"/>
    <w:rsid w:val="00961992"/>
    <w:rsid w:val="00961B16"/>
    <w:rsid w:val="00961B6F"/>
    <w:rsid w:val="00961F91"/>
    <w:rsid w:val="00961FAA"/>
    <w:rsid w:val="00962210"/>
    <w:rsid w:val="0096228E"/>
    <w:rsid w:val="00962475"/>
    <w:rsid w:val="0096250B"/>
    <w:rsid w:val="009625A9"/>
    <w:rsid w:val="00962639"/>
    <w:rsid w:val="00962863"/>
    <w:rsid w:val="00962AEC"/>
    <w:rsid w:val="00962B2E"/>
    <w:rsid w:val="00962DDB"/>
    <w:rsid w:val="0096309D"/>
    <w:rsid w:val="009630AE"/>
    <w:rsid w:val="009630BB"/>
    <w:rsid w:val="0096315F"/>
    <w:rsid w:val="00963299"/>
    <w:rsid w:val="00963421"/>
    <w:rsid w:val="009635F8"/>
    <w:rsid w:val="00963674"/>
    <w:rsid w:val="00963759"/>
    <w:rsid w:val="00963787"/>
    <w:rsid w:val="00963AD3"/>
    <w:rsid w:val="00963CD9"/>
    <w:rsid w:val="00963D9C"/>
    <w:rsid w:val="00963E2E"/>
    <w:rsid w:val="00963F28"/>
    <w:rsid w:val="00963F64"/>
    <w:rsid w:val="00963F9D"/>
    <w:rsid w:val="009646B3"/>
    <w:rsid w:val="00964801"/>
    <w:rsid w:val="00964886"/>
    <w:rsid w:val="0096493F"/>
    <w:rsid w:val="00964A2B"/>
    <w:rsid w:val="00965096"/>
    <w:rsid w:val="009650C0"/>
    <w:rsid w:val="0096518B"/>
    <w:rsid w:val="009654BB"/>
    <w:rsid w:val="009655B8"/>
    <w:rsid w:val="009656BE"/>
    <w:rsid w:val="0096587E"/>
    <w:rsid w:val="00965A02"/>
    <w:rsid w:val="00965B6C"/>
    <w:rsid w:val="00965B87"/>
    <w:rsid w:val="00966355"/>
    <w:rsid w:val="00966362"/>
    <w:rsid w:val="00966459"/>
    <w:rsid w:val="0096651E"/>
    <w:rsid w:val="0096667B"/>
    <w:rsid w:val="0096668C"/>
    <w:rsid w:val="00966706"/>
    <w:rsid w:val="00966AB8"/>
    <w:rsid w:val="00966C77"/>
    <w:rsid w:val="00966D10"/>
    <w:rsid w:val="00966E26"/>
    <w:rsid w:val="00966ED2"/>
    <w:rsid w:val="0096704A"/>
    <w:rsid w:val="0096728E"/>
    <w:rsid w:val="00967591"/>
    <w:rsid w:val="00967656"/>
    <w:rsid w:val="0096779D"/>
    <w:rsid w:val="00967A5C"/>
    <w:rsid w:val="00967ADE"/>
    <w:rsid w:val="00967B01"/>
    <w:rsid w:val="00967B43"/>
    <w:rsid w:val="00967F8D"/>
    <w:rsid w:val="009701CA"/>
    <w:rsid w:val="0097026F"/>
    <w:rsid w:val="00970456"/>
    <w:rsid w:val="009709D5"/>
    <w:rsid w:val="00970F38"/>
    <w:rsid w:val="00971128"/>
    <w:rsid w:val="0097114A"/>
    <w:rsid w:val="009711FB"/>
    <w:rsid w:val="00971379"/>
    <w:rsid w:val="00971996"/>
    <w:rsid w:val="00971A66"/>
    <w:rsid w:val="00971DD4"/>
    <w:rsid w:val="00971E94"/>
    <w:rsid w:val="00971FE2"/>
    <w:rsid w:val="00972256"/>
    <w:rsid w:val="009722B8"/>
    <w:rsid w:val="009722D7"/>
    <w:rsid w:val="00972310"/>
    <w:rsid w:val="00972347"/>
    <w:rsid w:val="009724F3"/>
    <w:rsid w:val="00972708"/>
    <w:rsid w:val="00972CB6"/>
    <w:rsid w:val="00972FDB"/>
    <w:rsid w:val="00973019"/>
    <w:rsid w:val="0097314E"/>
    <w:rsid w:val="00973417"/>
    <w:rsid w:val="00973418"/>
    <w:rsid w:val="00973426"/>
    <w:rsid w:val="00973602"/>
    <w:rsid w:val="0097360A"/>
    <w:rsid w:val="00973801"/>
    <w:rsid w:val="00973A5E"/>
    <w:rsid w:val="00973BCE"/>
    <w:rsid w:val="00973BED"/>
    <w:rsid w:val="00973C1C"/>
    <w:rsid w:val="00973FBC"/>
    <w:rsid w:val="00974187"/>
    <w:rsid w:val="009746A4"/>
    <w:rsid w:val="009746DC"/>
    <w:rsid w:val="00974830"/>
    <w:rsid w:val="00974CF0"/>
    <w:rsid w:val="00974FF8"/>
    <w:rsid w:val="009750B8"/>
    <w:rsid w:val="00975183"/>
    <w:rsid w:val="009751EB"/>
    <w:rsid w:val="009751EC"/>
    <w:rsid w:val="0097573A"/>
    <w:rsid w:val="009758DC"/>
    <w:rsid w:val="00975A55"/>
    <w:rsid w:val="00975BB4"/>
    <w:rsid w:val="00975C1A"/>
    <w:rsid w:val="00975D8F"/>
    <w:rsid w:val="009764B1"/>
    <w:rsid w:val="009766DE"/>
    <w:rsid w:val="00976730"/>
    <w:rsid w:val="00976874"/>
    <w:rsid w:val="00976895"/>
    <w:rsid w:val="009768A4"/>
    <w:rsid w:val="009769DA"/>
    <w:rsid w:val="00976B50"/>
    <w:rsid w:val="00976C7F"/>
    <w:rsid w:val="00976CB0"/>
    <w:rsid w:val="00976E8A"/>
    <w:rsid w:val="00976EC5"/>
    <w:rsid w:val="00976EF3"/>
    <w:rsid w:val="0097755D"/>
    <w:rsid w:val="00977610"/>
    <w:rsid w:val="00977A5A"/>
    <w:rsid w:val="00977C36"/>
    <w:rsid w:val="00977C5E"/>
    <w:rsid w:val="00980065"/>
    <w:rsid w:val="00980146"/>
    <w:rsid w:val="009803D2"/>
    <w:rsid w:val="00980553"/>
    <w:rsid w:val="00980651"/>
    <w:rsid w:val="00980867"/>
    <w:rsid w:val="00980871"/>
    <w:rsid w:val="0098088B"/>
    <w:rsid w:val="00980939"/>
    <w:rsid w:val="00980BAF"/>
    <w:rsid w:val="00980E22"/>
    <w:rsid w:val="00980EA1"/>
    <w:rsid w:val="00980F08"/>
    <w:rsid w:val="009810EF"/>
    <w:rsid w:val="00981119"/>
    <w:rsid w:val="009814AD"/>
    <w:rsid w:val="00981621"/>
    <w:rsid w:val="009818A2"/>
    <w:rsid w:val="00981B7B"/>
    <w:rsid w:val="00981BF0"/>
    <w:rsid w:val="00981CF0"/>
    <w:rsid w:val="00981D2A"/>
    <w:rsid w:val="00981D78"/>
    <w:rsid w:val="00981FDC"/>
    <w:rsid w:val="00982066"/>
    <w:rsid w:val="009822FC"/>
    <w:rsid w:val="0098252B"/>
    <w:rsid w:val="009825AC"/>
    <w:rsid w:val="0098271C"/>
    <w:rsid w:val="00982AE1"/>
    <w:rsid w:val="00982CB6"/>
    <w:rsid w:val="00982ECA"/>
    <w:rsid w:val="00982F77"/>
    <w:rsid w:val="009831D7"/>
    <w:rsid w:val="00983287"/>
    <w:rsid w:val="009832A2"/>
    <w:rsid w:val="009833D3"/>
    <w:rsid w:val="00983553"/>
    <w:rsid w:val="0098366C"/>
    <w:rsid w:val="00983839"/>
    <w:rsid w:val="00983920"/>
    <w:rsid w:val="00983984"/>
    <w:rsid w:val="00983A4F"/>
    <w:rsid w:val="00983B2B"/>
    <w:rsid w:val="009840A6"/>
    <w:rsid w:val="009845AA"/>
    <w:rsid w:val="009846E3"/>
    <w:rsid w:val="009847D8"/>
    <w:rsid w:val="00984956"/>
    <w:rsid w:val="00984C1A"/>
    <w:rsid w:val="00984D58"/>
    <w:rsid w:val="00984E58"/>
    <w:rsid w:val="00985040"/>
    <w:rsid w:val="009851FA"/>
    <w:rsid w:val="009852B9"/>
    <w:rsid w:val="009855C8"/>
    <w:rsid w:val="009855FB"/>
    <w:rsid w:val="00985624"/>
    <w:rsid w:val="0098565F"/>
    <w:rsid w:val="00985677"/>
    <w:rsid w:val="009859D9"/>
    <w:rsid w:val="00985A70"/>
    <w:rsid w:val="00985A8C"/>
    <w:rsid w:val="00985AAB"/>
    <w:rsid w:val="00985B31"/>
    <w:rsid w:val="00985E45"/>
    <w:rsid w:val="0098623A"/>
    <w:rsid w:val="0098630C"/>
    <w:rsid w:val="009866AC"/>
    <w:rsid w:val="00986951"/>
    <w:rsid w:val="00986DBC"/>
    <w:rsid w:val="00987056"/>
    <w:rsid w:val="00987395"/>
    <w:rsid w:val="00987439"/>
    <w:rsid w:val="009876B5"/>
    <w:rsid w:val="009876DE"/>
    <w:rsid w:val="00987729"/>
    <w:rsid w:val="00987C2D"/>
    <w:rsid w:val="00987C31"/>
    <w:rsid w:val="00987D9C"/>
    <w:rsid w:val="009902E2"/>
    <w:rsid w:val="009903D0"/>
    <w:rsid w:val="00990418"/>
    <w:rsid w:val="0099070F"/>
    <w:rsid w:val="00990915"/>
    <w:rsid w:val="0099097A"/>
    <w:rsid w:val="00990B83"/>
    <w:rsid w:val="00990CF1"/>
    <w:rsid w:val="00990EB4"/>
    <w:rsid w:val="00990F61"/>
    <w:rsid w:val="00990F7A"/>
    <w:rsid w:val="009912EC"/>
    <w:rsid w:val="0099173E"/>
    <w:rsid w:val="0099181C"/>
    <w:rsid w:val="00991860"/>
    <w:rsid w:val="009919EF"/>
    <w:rsid w:val="00991A07"/>
    <w:rsid w:val="00991D85"/>
    <w:rsid w:val="00991F99"/>
    <w:rsid w:val="009920E0"/>
    <w:rsid w:val="0099229B"/>
    <w:rsid w:val="009924CE"/>
    <w:rsid w:val="009925D4"/>
    <w:rsid w:val="0099273A"/>
    <w:rsid w:val="00993209"/>
    <w:rsid w:val="00993392"/>
    <w:rsid w:val="0099350C"/>
    <w:rsid w:val="009935D7"/>
    <w:rsid w:val="0099365F"/>
    <w:rsid w:val="00993979"/>
    <w:rsid w:val="00993A44"/>
    <w:rsid w:val="00993ACA"/>
    <w:rsid w:val="00993BA3"/>
    <w:rsid w:val="00993C6D"/>
    <w:rsid w:val="00993CDD"/>
    <w:rsid w:val="009942C4"/>
    <w:rsid w:val="009942E7"/>
    <w:rsid w:val="00994332"/>
    <w:rsid w:val="00994347"/>
    <w:rsid w:val="009945FC"/>
    <w:rsid w:val="00994694"/>
    <w:rsid w:val="0099492B"/>
    <w:rsid w:val="009950EC"/>
    <w:rsid w:val="009952C4"/>
    <w:rsid w:val="00995544"/>
    <w:rsid w:val="0099558A"/>
    <w:rsid w:val="009957DE"/>
    <w:rsid w:val="0099580F"/>
    <w:rsid w:val="00995946"/>
    <w:rsid w:val="00995967"/>
    <w:rsid w:val="00995B57"/>
    <w:rsid w:val="00995D7F"/>
    <w:rsid w:val="00995FDE"/>
    <w:rsid w:val="00996128"/>
    <w:rsid w:val="009962D7"/>
    <w:rsid w:val="00996412"/>
    <w:rsid w:val="00996692"/>
    <w:rsid w:val="009967C7"/>
    <w:rsid w:val="00996833"/>
    <w:rsid w:val="00997091"/>
    <w:rsid w:val="0099742F"/>
    <w:rsid w:val="0099754D"/>
    <w:rsid w:val="0099788D"/>
    <w:rsid w:val="00997CB4"/>
    <w:rsid w:val="009A00E7"/>
    <w:rsid w:val="009A01D7"/>
    <w:rsid w:val="009A025B"/>
    <w:rsid w:val="009A0333"/>
    <w:rsid w:val="009A04CA"/>
    <w:rsid w:val="009A0526"/>
    <w:rsid w:val="009A0608"/>
    <w:rsid w:val="009A0950"/>
    <w:rsid w:val="009A0C93"/>
    <w:rsid w:val="009A12DA"/>
    <w:rsid w:val="009A136D"/>
    <w:rsid w:val="009A165B"/>
    <w:rsid w:val="009A1689"/>
    <w:rsid w:val="009A183B"/>
    <w:rsid w:val="009A1910"/>
    <w:rsid w:val="009A1A13"/>
    <w:rsid w:val="009A1A93"/>
    <w:rsid w:val="009A1CBD"/>
    <w:rsid w:val="009A1EF9"/>
    <w:rsid w:val="009A22E1"/>
    <w:rsid w:val="009A261A"/>
    <w:rsid w:val="009A28AC"/>
    <w:rsid w:val="009A297E"/>
    <w:rsid w:val="009A2BCA"/>
    <w:rsid w:val="009A2DBF"/>
    <w:rsid w:val="009A2E8F"/>
    <w:rsid w:val="009A2F2D"/>
    <w:rsid w:val="009A3204"/>
    <w:rsid w:val="009A3425"/>
    <w:rsid w:val="009A365C"/>
    <w:rsid w:val="009A3AFA"/>
    <w:rsid w:val="009A3C02"/>
    <w:rsid w:val="009A3DEA"/>
    <w:rsid w:val="009A424E"/>
    <w:rsid w:val="009A441A"/>
    <w:rsid w:val="009A4445"/>
    <w:rsid w:val="009A44CE"/>
    <w:rsid w:val="009A47F6"/>
    <w:rsid w:val="009A4869"/>
    <w:rsid w:val="009A4B40"/>
    <w:rsid w:val="009A5154"/>
    <w:rsid w:val="009A5173"/>
    <w:rsid w:val="009A5499"/>
    <w:rsid w:val="009A565C"/>
    <w:rsid w:val="009A5700"/>
    <w:rsid w:val="009A5748"/>
    <w:rsid w:val="009A57E7"/>
    <w:rsid w:val="009A5813"/>
    <w:rsid w:val="009A5845"/>
    <w:rsid w:val="009A592E"/>
    <w:rsid w:val="009A592F"/>
    <w:rsid w:val="009A5A6B"/>
    <w:rsid w:val="009A5AB9"/>
    <w:rsid w:val="009A5E7C"/>
    <w:rsid w:val="009A5FC3"/>
    <w:rsid w:val="009A6026"/>
    <w:rsid w:val="009A617D"/>
    <w:rsid w:val="009A63D7"/>
    <w:rsid w:val="009A665C"/>
    <w:rsid w:val="009A6790"/>
    <w:rsid w:val="009A67B0"/>
    <w:rsid w:val="009A67F1"/>
    <w:rsid w:val="009A6CD9"/>
    <w:rsid w:val="009A6EC7"/>
    <w:rsid w:val="009A718B"/>
    <w:rsid w:val="009A7540"/>
    <w:rsid w:val="009A7567"/>
    <w:rsid w:val="009A791C"/>
    <w:rsid w:val="009A7A49"/>
    <w:rsid w:val="009A7AE5"/>
    <w:rsid w:val="009A7B88"/>
    <w:rsid w:val="009A7D2F"/>
    <w:rsid w:val="009B00F4"/>
    <w:rsid w:val="009B039E"/>
    <w:rsid w:val="009B0488"/>
    <w:rsid w:val="009B04AD"/>
    <w:rsid w:val="009B074A"/>
    <w:rsid w:val="009B089C"/>
    <w:rsid w:val="009B0990"/>
    <w:rsid w:val="009B0995"/>
    <w:rsid w:val="009B09C4"/>
    <w:rsid w:val="009B09C9"/>
    <w:rsid w:val="009B0A11"/>
    <w:rsid w:val="009B0C85"/>
    <w:rsid w:val="009B0DD8"/>
    <w:rsid w:val="009B0F61"/>
    <w:rsid w:val="009B1006"/>
    <w:rsid w:val="009B13A2"/>
    <w:rsid w:val="009B1521"/>
    <w:rsid w:val="009B157D"/>
    <w:rsid w:val="009B159C"/>
    <w:rsid w:val="009B16F8"/>
    <w:rsid w:val="009B1A70"/>
    <w:rsid w:val="009B1AE9"/>
    <w:rsid w:val="009B1B2E"/>
    <w:rsid w:val="009B1B33"/>
    <w:rsid w:val="009B1B5C"/>
    <w:rsid w:val="009B202C"/>
    <w:rsid w:val="009B2227"/>
    <w:rsid w:val="009B2255"/>
    <w:rsid w:val="009B22E5"/>
    <w:rsid w:val="009B248C"/>
    <w:rsid w:val="009B24AD"/>
    <w:rsid w:val="009B2622"/>
    <w:rsid w:val="009B26DE"/>
    <w:rsid w:val="009B2727"/>
    <w:rsid w:val="009B2756"/>
    <w:rsid w:val="009B2895"/>
    <w:rsid w:val="009B2BF5"/>
    <w:rsid w:val="009B2C7F"/>
    <w:rsid w:val="009B2CE5"/>
    <w:rsid w:val="009B2D11"/>
    <w:rsid w:val="009B311B"/>
    <w:rsid w:val="009B396D"/>
    <w:rsid w:val="009B3B3D"/>
    <w:rsid w:val="009B3D39"/>
    <w:rsid w:val="009B3DAD"/>
    <w:rsid w:val="009B3F1F"/>
    <w:rsid w:val="009B4123"/>
    <w:rsid w:val="009B41A8"/>
    <w:rsid w:val="009B4454"/>
    <w:rsid w:val="009B481B"/>
    <w:rsid w:val="009B489E"/>
    <w:rsid w:val="009B4A32"/>
    <w:rsid w:val="009B4F69"/>
    <w:rsid w:val="009B5409"/>
    <w:rsid w:val="009B5443"/>
    <w:rsid w:val="009B5511"/>
    <w:rsid w:val="009B5645"/>
    <w:rsid w:val="009B56C9"/>
    <w:rsid w:val="009B580F"/>
    <w:rsid w:val="009B5892"/>
    <w:rsid w:val="009B5A5C"/>
    <w:rsid w:val="009B5C73"/>
    <w:rsid w:val="009B5E23"/>
    <w:rsid w:val="009B5F81"/>
    <w:rsid w:val="009B63B8"/>
    <w:rsid w:val="009B6C07"/>
    <w:rsid w:val="009B6CE8"/>
    <w:rsid w:val="009B6E94"/>
    <w:rsid w:val="009B6FE9"/>
    <w:rsid w:val="009B6FF9"/>
    <w:rsid w:val="009B7018"/>
    <w:rsid w:val="009B7135"/>
    <w:rsid w:val="009B722A"/>
    <w:rsid w:val="009B74E4"/>
    <w:rsid w:val="009B7599"/>
    <w:rsid w:val="009B7660"/>
    <w:rsid w:val="009B76AC"/>
    <w:rsid w:val="009B78DC"/>
    <w:rsid w:val="009B7984"/>
    <w:rsid w:val="009B7A77"/>
    <w:rsid w:val="009B7AA3"/>
    <w:rsid w:val="009B7B85"/>
    <w:rsid w:val="009B7BD5"/>
    <w:rsid w:val="009B7CE7"/>
    <w:rsid w:val="009B7EC2"/>
    <w:rsid w:val="009B7FF0"/>
    <w:rsid w:val="009C02F4"/>
    <w:rsid w:val="009C05B4"/>
    <w:rsid w:val="009C061E"/>
    <w:rsid w:val="009C07D2"/>
    <w:rsid w:val="009C0A14"/>
    <w:rsid w:val="009C0B64"/>
    <w:rsid w:val="009C0C9C"/>
    <w:rsid w:val="009C0D3F"/>
    <w:rsid w:val="009C0EC1"/>
    <w:rsid w:val="009C0F14"/>
    <w:rsid w:val="009C0F54"/>
    <w:rsid w:val="009C0FDC"/>
    <w:rsid w:val="009C13E7"/>
    <w:rsid w:val="009C145B"/>
    <w:rsid w:val="009C146E"/>
    <w:rsid w:val="009C1865"/>
    <w:rsid w:val="009C1893"/>
    <w:rsid w:val="009C1B92"/>
    <w:rsid w:val="009C1FD9"/>
    <w:rsid w:val="009C20D2"/>
    <w:rsid w:val="009C2176"/>
    <w:rsid w:val="009C2316"/>
    <w:rsid w:val="009C2334"/>
    <w:rsid w:val="009C24E3"/>
    <w:rsid w:val="009C294C"/>
    <w:rsid w:val="009C2A44"/>
    <w:rsid w:val="009C2BD0"/>
    <w:rsid w:val="009C2E59"/>
    <w:rsid w:val="009C2E65"/>
    <w:rsid w:val="009C2F74"/>
    <w:rsid w:val="009C31D1"/>
    <w:rsid w:val="009C3299"/>
    <w:rsid w:val="009C35E0"/>
    <w:rsid w:val="009C37A2"/>
    <w:rsid w:val="009C37A4"/>
    <w:rsid w:val="009C37D7"/>
    <w:rsid w:val="009C37D8"/>
    <w:rsid w:val="009C38AE"/>
    <w:rsid w:val="009C39B4"/>
    <w:rsid w:val="009C3BD3"/>
    <w:rsid w:val="009C3C1E"/>
    <w:rsid w:val="009C3C3D"/>
    <w:rsid w:val="009C3FF3"/>
    <w:rsid w:val="009C4106"/>
    <w:rsid w:val="009C4B57"/>
    <w:rsid w:val="009C4D21"/>
    <w:rsid w:val="009C4D69"/>
    <w:rsid w:val="009C4FB4"/>
    <w:rsid w:val="009C521F"/>
    <w:rsid w:val="009C55B4"/>
    <w:rsid w:val="009C59BB"/>
    <w:rsid w:val="009C59D1"/>
    <w:rsid w:val="009C5A7F"/>
    <w:rsid w:val="009C5CC4"/>
    <w:rsid w:val="009C5CE2"/>
    <w:rsid w:val="009C5EC5"/>
    <w:rsid w:val="009C6502"/>
    <w:rsid w:val="009C666D"/>
    <w:rsid w:val="009C6710"/>
    <w:rsid w:val="009C688E"/>
    <w:rsid w:val="009C6971"/>
    <w:rsid w:val="009C6BEE"/>
    <w:rsid w:val="009C6E27"/>
    <w:rsid w:val="009C7169"/>
    <w:rsid w:val="009C7487"/>
    <w:rsid w:val="009C7510"/>
    <w:rsid w:val="009C76C7"/>
    <w:rsid w:val="009C7700"/>
    <w:rsid w:val="009C7A22"/>
    <w:rsid w:val="009C7B25"/>
    <w:rsid w:val="009C7D64"/>
    <w:rsid w:val="009D0048"/>
    <w:rsid w:val="009D00AB"/>
    <w:rsid w:val="009D046C"/>
    <w:rsid w:val="009D047F"/>
    <w:rsid w:val="009D0648"/>
    <w:rsid w:val="009D06B4"/>
    <w:rsid w:val="009D07BA"/>
    <w:rsid w:val="009D0947"/>
    <w:rsid w:val="009D09DB"/>
    <w:rsid w:val="009D0B72"/>
    <w:rsid w:val="009D0BC6"/>
    <w:rsid w:val="009D0D00"/>
    <w:rsid w:val="009D0D4E"/>
    <w:rsid w:val="009D0E5D"/>
    <w:rsid w:val="009D10C3"/>
    <w:rsid w:val="009D164B"/>
    <w:rsid w:val="009D166F"/>
    <w:rsid w:val="009D1773"/>
    <w:rsid w:val="009D181F"/>
    <w:rsid w:val="009D1B58"/>
    <w:rsid w:val="009D1C23"/>
    <w:rsid w:val="009D1C70"/>
    <w:rsid w:val="009D1E81"/>
    <w:rsid w:val="009D1F3B"/>
    <w:rsid w:val="009D278F"/>
    <w:rsid w:val="009D2F60"/>
    <w:rsid w:val="009D2FB4"/>
    <w:rsid w:val="009D2FF6"/>
    <w:rsid w:val="009D32AA"/>
    <w:rsid w:val="009D3523"/>
    <w:rsid w:val="009D37E6"/>
    <w:rsid w:val="009D37F0"/>
    <w:rsid w:val="009D3BFA"/>
    <w:rsid w:val="009D3CC1"/>
    <w:rsid w:val="009D3D7F"/>
    <w:rsid w:val="009D3F70"/>
    <w:rsid w:val="009D4081"/>
    <w:rsid w:val="009D4214"/>
    <w:rsid w:val="009D42E5"/>
    <w:rsid w:val="009D444D"/>
    <w:rsid w:val="009D4455"/>
    <w:rsid w:val="009D4481"/>
    <w:rsid w:val="009D488C"/>
    <w:rsid w:val="009D48DD"/>
    <w:rsid w:val="009D49B4"/>
    <w:rsid w:val="009D49C5"/>
    <w:rsid w:val="009D49E3"/>
    <w:rsid w:val="009D4CB0"/>
    <w:rsid w:val="009D4CEE"/>
    <w:rsid w:val="009D5033"/>
    <w:rsid w:val="009D52C6"/>
    <w:rsid w:val="009D5391"/>
    <w:rsid w:val="009D53EE"/>
    <w:rsid w:val="009D564E"/>
    <w:rsid w:val="009D5785"/>
    <w:rsid w:val="009D649F"/>
    <w:rsid w:val="009D65DA"/>
    <w:rsid w:val="009D6841"/>
    <w:rsid w:val="009D6895"/>
    <w:rsid w:val="009D69FF"/>
    <w:rsid w:val="009D6D5A"/>
    <w:rsid w:val="009D70BD"/>
    <w:rsid w:val="009D70DD"/>
    <w:rsid w:val="009D73DD"/>
    <w:rsid w:val="009D7839"/>
    <w:rsid w:val="009D7B87"/>
    <w:rsid w:val="009D7CBD"/>
    <w:rsid w:val="009E00C2"/>
    <w:rsid w:val="009E01C4"/>
    <w:rsid w:val="009E01D5"/>
    <w:rsid w:val="009E04C1"/>
    <w:rsid w:val="009E05F7"/>
    <w:rsid w:val="009E07B8"/>
    <w:rsid w:val="009E07E6"/>
    <w:rsid w:val="009E0AF5"/>
    <w:rsid w:val="009E0B1F"/>
    <w:rsid w:val="009E0BE6"/>
    <w:rsid w:val="009E0CCE"/>
    <w:rsid w:val="009E0E09"/>
    <w:rsid w:val="009E0EAE"/>
    <w:rsid w:val="009E0F72"/>
    <w:rsid w:val="009E0FE3"/>
    <w:rsid w:val="009E105C"/>
    <w:rsid w:val="009E10FF"/>
    <w:rsid w:val="009E110E"/>
    <w:rsid w:val="009E1127"/>
    <w:rsid w:val="009E11D2"/>
    <w:rsid w:val="009E12D4"/>
    <w:rsid w:val="009E1350"/>
    <w:rsid w:val="009E1538"/>
    <w:rsid w:val="009E1863"/>
    <w:rsid w:val="009E18CA"/>
    <w:rsid w:val="009E1D55"/>
    <w:rsid w:val="009E1D66"/>
    <w:rsid w:val="009E22AF"/>
    <w:rsid w:val="009E2484"/>
    <w:rsid w:val="009E27F7"/>
    <w:rsid w:val="009E2805"/>
    <w:rsid w:val="009E2877"/>
    <w:rsid w:val="009E2D7C"/>
    <w:rsid w:val="009E2FBB"/>
    <w:rsid w:val="009E330D"/>
    <w:rsid w:val="009E3334"/>
    <w:rsid w:val="009E334B"/>
    <w:rsid w:val="009E3672"/>
    <w:rsid w:val="009E377E"/>
    <w:rsid w:val="009E38EA"/>
    <w:rsid w:val="009E3B4E"/>
    <w:rsid w:val="009E3C9C"/>
    <w:rsid w:val="009E3FE8"/>
    <w:rsid w:val="009E4177"/>
    <w:rsid w:val="009E41D1"/>
    <w:rsid w:val="009E44E7"/>
    <w:rsid w:val="009E4585"/>
    <w:rsid w:val="009E484F"/>
    <w:rsid w:val="009E4B3B"/>
    <w:rsid w:val="009E4C5D"/>
    <w:rsid w:val="009E4D02"/>
    <w:rsid w:val="009E4DCF"/>
    <w:rsid w:val="009E4EEC"/>
    <w:rsid w:val="009E4F33"/>
    <w:rsid w:val="009E5425"/>
    <w:rsid w:val="009E57C1"/>
    <w:rsid w:val="009E5825"/>
    <w:rsid w:val="009E5A9E"/>
    <w:rsid w:val="009E5C0E"/>
    <w:rsid w:val="009E5DBF"/>
    <w:rsid w:val="009E5EAE"/>
    <w:rsid w:val="009E6132"/>
    <w:rsid w:val="009E61B0"/>
    <w:rsid w:val="009E6681"/>
    <w:rsid w:val="009E68E5"/>
    <w:rsid w:val="009E694A"/>
    <w:rsid w:val="009E6B09"/>
    <w:rsid w:val="009E6B0B"/>
    <w:rsid w:val="009E7119"/>
    <w:rsid w:val="009E7167"/>
    <w:rsid w:val="009E74CF"/>
    <w:rsid w:val="009E75A3"/>
    <w:rsid w:val="009E75BD"/>
    <w:rsid w:val="009E77A5"/>
    <w:rsid w:val="009E7947"/>
    <w:rsid w:val="009E7CEB"/>
    <w:rsid w:val="009F00AF"/>
    <w:rsid w:val="009F0370"/>
    <w:rsid w:val="009F047E"/>
    <w:rsid w:val="009F04C7"/>
    <w:rsid w:val="009F0840"/>
    <w:rsid w:val="009F0AC3"/>
    <w:rsid w:val="009F0B5A"/>
    <w:rsid w:val="009F1611"/>
    <w:rsid w:val="009F1671"/>
    <w:rsid w:val="009F1A8E"/>
    <w:rsid w:val="009F1B50"/>
    <w:rsid w:val="009F1C45"/>
    <w:rsid w:val="009F1C67"/>
    <w:rsid w:val="009F1CFC"/>
    <w:rsid w:val="009F1EFA"/>
    <w:rsid w:val="009F1FC1"/>
    <w:rsid w:val="009F20F5"/>
    <w:rsid w:val="009F21D6"/>
    <w:rsid w:val="009F24C7"/>
    <w:rsid w:val="009F28FA"/>
    <w:rsid w:val="009F29A2"/>
    <w:rsid w:val="009F2A57"/>
    <w:rsid w:val="009F2B12"/>
    <w:rsid w:val="009F2C41"/>
    <w:rsid w:val="009F2D93"/>
    <w:rsid w:val="009F2E74"/>
    <w:rsid w:val="009F2E88"/>
    <w:rsid w:val="009F37A0"/>
    <w:rsid w:val="009F391F"/>
    <w:rsid w:val="009F3F94"/>
    <w:rsid w:val="009F411E"/>
    <w:rsid w:val="009F435B"/>
    <w:rsid w:val="009F4425"/>
    <w:rsid w:val="009F48A7"/>
    <w:rsid w:val="009F4C1B"/>
    <w:rsid w:val="009F4C85"/>
    <w:rsid w:val="009F4D2E"/>
    <w:rsid w:val="009F4ED8"/>
    <w:rsid w:val="009F4F47"/>
    <w:rsid w:val="009F4FAA"/>
    <w:rsid w:val="009F4FB8"/>
    <w:rsid w:val="009F514E"/>
    <w:rsid w:val="009F5180"/>
    <w:rsid w:val="009F5421"/>
    <w:rsid w:val="009F5438"/>
    <w:rsid w:val="009F568A"/>
    <w:rsid w:val="009F57B1"/>
    <w:rsid w:val="009F57CF"/>
    <w:rsid w:val="009F581C"/>
    <w:rsid w:val="009F58FB"/>
    <w:rsid w:val="009F5A07"/>
    <w:rsid w:val="009F5B61"/>
    <w:rsid w:val="009F5CC9"/>
    <w:rsid w:val="009F6326"/>
    <w:rsid w:val="009F6481"/>
    <w:rsid w:val="009F6563"/>
    <w:rsid w:val="009F66C1"/>
    <w:rsid w:val="009F66DF"/>
    <w:rsid w:val="009F6A0E"/>
    <w:rsid w:val="009F6C20"/>
    <w:rsid w:val="009F6D3C"/>
    <w:rsid w:val="009F7210"/>
    <w:rsid w:val="009F7409"/>
    <w:rsid w:val="009F7704"/>
    <w:rsid w:val="009F7804"/>
    <w:rsid w:val="009F78CE"/>
    <w:rsid w:val="009F78DF"/>
    <w:rsid w:val="009F7985"/>
    <w:rsid w:val="009F7EA5"/>
    <w:rsid w:val="009F7F3D"/>
    <w:rsid w:val="00A00050"/>
    <w:rsid w:val="00A00062"/>
    <w:rsid w:val="00A002A2"/>
    <w:rsid w:val="00A003D1"/>
    <w:rsid w:val="00A00F61"/>
    <w:rsid w:val="00A01102"/>
    <w:rsid w:val="00A0119F"/>
    <w:rsid w:val="00A011AD"/>
    <w:rsid w:val="00A0149F"/>
    <w:rsid w:val="00A014B4"/>
    <w:rsid w:val="00A01611"/>
    <w:rsid w:val="00A016C4"/>
    <w:rsid w:val="00A017DF"/>
    <w:rsid w:val="00A017FC"/>
    <w:rsid w:val="00A0181F"/>
    <w:rsid w:val="00A018E8"/>
    <w:rsid w:val="00A0196C"/>
    <w:rsid w:val="00A01A22"/>
    <w:rsid w:val="00A01AB0"/>
    <w:rsid w:val="00A020A1"/>
    <w:rsid w:val="00A022B3"/>
    <w:rsid w:val="00A02387"/>
    <w:rsid w:val="00A02738"/>
    <w:rsid w:val="00A02747"/>
    <w:rsid w:val="00A0294C"/>
    <w:rsid w:val="00A02990"/>
    <w:rsid w:val="00A02BEA"/>
    <w:rsid w:val="00A02C0F"/>
    <w:rsid w:val="00A03060"/>
    <w:rsid w:val="00A030E7"/>
    <w:rsid w:val="00A0345E"/>
    <w:rsid w:val="00A034CB"/>
    <w:rsid w:val="00A03750"/>
    <w:rsid w:val="00A039E8"/>
    <w:rsid w:val="00A03C45"/>
    <w:rsid w:val="00A03F5A"/>
    <w:rsid w:val="00A0413A"/>
    <w:rsid w:val="00A04291"/>
    <w:rsid w:val="00A0449F"/>
    <w:rsid w:val="00A0499D"/>
    <w:rsid w:val="00A04B28"/>
    <w:rsid w:val="00A04C38"/>
    <w:rsid w:val="00A04CFB"/>
    <w:rsid w:val="00A0503F"/>
    <w:rsid w:val="00A05744"/>
    <w:rsid w:val="00A0577A"/>
    <w:rsid w:val="00A05876"/>
    <w:rsid w:val="00A058A6"/>
    <w:rsid w:val="00A05DB5"/>
    <w:rsid w:val="00A05EB9"/>
    <w:rsid w:val="00A0604C"/>
    <w:rsid w:val="00A0616A"/>
    <w:rsid w:val="00A061DF"/>
    <w:rsid w:val="00A064C8"/>
    <w:rsid w:val="00A06591"/>
    <w:rsid w:val="00A06696"/>
    <w:rsid w:val="00A066FF"/>
    <w:rsid w:val="00A06A5B"/>
    <w:rsid w:val="00A06A9D"/>
    <w:rsid w:val="00A06B28"/>
    <w:rsid w:val="00A06EBD"/>
    <w:rsid w:val="00A071E8"/>
    <w:rsid w:val="00A072A1"/>
    <w:rsid w:val="00A076B8"/>
    <w:rsid w:val="00A076C8"/>
    <w:rsid w:val="00A07B7B"/>
    <w:rsid w:val="00A07C1D"/>
    <w:rsid w:val="00A07D60"/>
    <w:rsid w:val="00A07ED6"/>
    <w:rsid w:val="00A102BB"/>
    <w:rsid w:val="00A10319"/>
    <w:rsid w:val="00A10320"/>
    <w:rsid w:val="00A10681"/>
    <w:rsid w:val="00A10730"/>
    <w:rsid w:val="00A10932"/>
    <w:rsid w:val="00A10A59"/>
    <w:rsid w:val="00A10B65"/>
    <w:rsid w:val="00A10CAE"/>
    <w:rsid w:val="00A10D27"/>
    <w:rsid w:val="00A1101D"/>
    <w:rsid w:val="00A1107E"/>
    <w:rsid w:val="00A11081"/>
    <w:rsid w:val="00A11281"/>
    <w:rsid w:val="00A113B3"/>
    <w:rsid w:val="00A1147F"/>
    <w:rsid w:val="00A114B8"/>
    <w:rsid w:val="00A114DD"/>
    <w:rsid w:val="00A11973"/>
    <w:rsid w:val="00A119C0"/>
    <w:rsid w:val="00A11CD0"/>
    <w:rsid w:val="00A11D73"/>
    <w:rsid w:val="00A11F29"/>
    <w:rsid w:val="00A120DA"/>
    <w:rsid w:val="00A12186"/>
    <w:rsid w:val="00A122CA"/>
    <w:rsid w:val="00A12528"/>
    <w:rsid w:val="00A125AF"/>
    <w:rsid w:val="00A12717"/>
    <w:rsid w:val="00A1273E"/>
    <w:rsid w:val="00A1287F"/>
    <w:rsid w:val="00A12A18"/>
    <w:rsid w:val="00A12A6B"/>
    <w:rsid w:val="00A12A9D"/>
    <w:rsid w:val="00A12D10"/>
    <w:rsid w:val="00A12E8A"/>
    <w:rsid w:val="00A12F89"/>
    <w:rsid w:val="00A13016"/>
    <w:rsid w:val="00A130A1"/>
    <w:rsid w:val="00A1316D"/>
    <w:rsid w:val="00A1317D"/>
    <w:rsid w:val="00A13381"/>
    <w:rsid w:val="00A134A8"/>
    <w:rsid w:val="00A1383D"/>
    <w:rsid w:val="00A13A05"/>
    <w:rsid w:val="00A13A94"/>
    <w:rsid w:val="00A13AD2"/>
    <w:rsid w:val="00A13C19"/>
    <w:rsid w:val="00A13D10"/>
    <w:rsid w:val="00A13D7C"/>
    <w:rsid w:val="00A13DDA"/>
    <w:rsid w:val="00A14231"/>
    <w:rsid w:val="00A146A2"/>
    <w:rsid w:val="00A14731"/>
    <w:rsid w:val="00A14735"/>
    <w:rsid w:val="00A14C77"/>
    <w:rsid w:val="00A14E55"/>
    <w:rsid w:val="00A14F15"/>
    <w:rsid w:val="00A15148"/>
    <w:rsid w:val="00A15380"/>
    <w:rsid w:val="00A153E8"/>
    <w:rsid w:val="00A15634"/>
    <w:rsid w:val="00A1563D"/>
    <w:rsid w:val="00A158B0"/>
    <w:rsid w:val="00A15D5D"/>
    <w:rsid w:val="00A15DEE"/>
    <w:rsid w:val="00A15F7E"/>
    <w:rsid w:val="00A16102"/>
    <w:rsid w:val="00A1630C"/>
    <w:rsid w:val="00A16439"/>
    <w:rsid w:val="00A1672D"/>
    <w:rsid w:val="00A16BBB"/>
    <w:rsid w:val="00A16E11"/>
    <w:rsid w:val="00A16E48"/>
    <w:rsid w:val="00A17439"/>
    <w:rsid w:val="00A17744"/>
    <w:rsid w:val="00A177CF"/>
    <w:rsid w:val="00A177EF"/>
    <w:rsid w:val="00A17885"/>
    <w:rsid w:val="00A178DC"/>
    <w:rsid w:val="00A17F8C"/>
    <w:rsid w:val="00A20063"/>
    <w:rsid w:val="00A20229"/>
    <w:rsid w:val="00A2069D"/>
    <w:rsid w:val="00A20710"/>
    <w:rsid w:val="00A2090A"/>
    <w:rsid w:val="00A2091F"/>
    <w:rsid w:val="00A20A8C"/>
    <w:rsid w:val="00A20AA4"/>
    <w:rsid w:val="00A20DB4"/>
    <w:rsid w:val="00A20E61"/>
    <w:rsid w:val="00A20FA0"/>
    <w:rsid w:val="00A20FA9"/>
    <w:rsid w:val="00A20FE0"/>
    <w:rsid w:val="00A2105A"/>
    <w:rsid w:val="00A21080"/>
    <w:rsid w:val="00A210A1"/>
    <w:rsid w:val="00A2150D"/>
    <w:rsid w:val="00A2150F"/>
    <w:rsid w:val="00A21791"/>
    <w:rsid w:val="00A21868"/>
    <w:rsid w:val="00A21AC5"/>
    <w:rsid w:val="00A21CDE"/>
    <w:rsid w:val="00A21DAA"/>
    <w:rsid w:val="00A21DDB"/>
    <w:rsid w:val="00A21EC4"/>
    <w:rsid w:val="00A22078"/>
    <w:rsid w:val="00A22084"/>
    <w:rsid w:val="00A220BE"/>
    <w:rsid w:val="00A2217A"/>
    <w:rsid w:val="00A22472"/>
    <w:rsid w:val="00A224F9"/>
    <w:rsid w:val="00A22601"/>
    <w:rsid w:val="00A228BF"/>
    <w:rsid w:val="00A22B5F"/>
    <w:rsid w:val="00A22C14"/>
    <w:rsid w:val="00A22ED3"/>
    <w:rsid w:val="00A22F3D"/>
    <w:rsid w:val="00A2333B"/>
    <w:rsid w:val="00A23395"/>
    <w:rsid w:val="00A23612"/>
    <w:rsid w:val="00A23673"/>
    <w:rsid w:val="00A23836"/>
    <w:rsid w:val="00A239B4"/>
    <w:rsid w:val="00A23C1E"/>
    <w:rsid w:val="00A23CFC"/>
    <w:rsid w:val="00A23D7D"/>
    <w:rsid w:val="00A23DE4"/>
    <w:rsid w:val="00A2447A"/>
    <w:rsid w:val="00A244CA"/>
    <w:rsid w:val="00A24543"/>
    <w:rsid w:val="00A246F9"/>
    <w:rsid w:val="00A2476E"/>
    <w:rsid w:val="00A24C04"/>
    <w:rsid w:val="00A253C8"/>
    <w:rsid w:val="00A25507"/>
    <w:rsid w:val="00A25606"/>
    <w:rsid w:val="00A25741"/>
    <w:rsid w:val="00A2589C"/>
    <w:rsid w:val="00A258AD"/>
    <w:rsid w:val="00A25950"/>
    <w:rsid w:val="00A25B65"/>
    <w:rsid w:val="00A25B6F"/>
    <w:rsid w:val="00A25D3F"/>
    <w:rsid w:val="00A25F95"/>
    <w:rsid w:val="00A2640C"/>
    <w:rsid w:val="00A266E8"/>
    <w:rsid w:val="00A26928"/>
    <w:rsid w:val="00A269DB"/>
    <w:rsid w:val="00A269FD"/>
    <w:rsid w:val="00A26D4E"/>
    <w:rsid w:val="00A270BE"/>
    <w:rsid w:val="00A271B9"/>
    <w:rsid w:val="00A27215"/>
    <w:rsid w:val="00A272D8"/>
    <w:rsid w:val="00A27369"/>
    <w:rsid w:val="00A27474"/>
    <w:rsid w:val="00A274E1"/>
    <w:rsid w:val="00A27639"/>
    <w:rsid w:val="00A27821"/>
    <w:rsid w:val="00A2796A"/>
    <w:rsid w:val="00A27D1E"/>
    <w:rsid w:val="00A27DFA"/>
    <w:rsid w:val="00A27EE3"/>
    <w:rsid w:val="00A27FB6"/>
    <w:rsid w:val="00A30008"/>
    <w:rsid w:val="00A3023B"/>
    <w:rsid w:val="00A30267"/>
    <w:rsid w:val="00A30743"/>
    <w:rsid w:val="00A30814"/>
    <w:rsid w:val="00A30931"/>
    <w:rsid w:val="00A30D3F"/>
    <w:rsid w:val="00A30ED9"/>
    <w:rsid w:val="00A310AF"/>
    <w:rsid w:val="00A313FA"/>
    <w:rsid w:val="00A31462"/>
    <w:rsid w:val="00A31575"/>
    <w:rsid w:val="00A319E1"/>
    <w:rsid w:val="00A31B3D"/>
    <w:rsid w:val="00A31D64"/>
    <w:rsid w:val="00A31E8D"/>
    <w:rsid w:val="00A31F8B"/>
    <w:rsid w:val="00A320B8"/>
    <w:rsid w:val="00A32547"/>
    <w:rsid w:val="00A325C4"/>
    <w:rsid w:val="00A32673"/>
    <w:rsid w:val="00A32915"/>
    <w:rsid w:val="00A32BF7"/>
    <w:rsid w:val="00A32C21"/>
    <w:rsid w:val="00A32CB8"/>
    <w:rsid w:val="00A3301C"/>
    <w:rsid w:val="00A330ED"/>
    <w:rsid w:val="00A33245"/>
    <w:rsid w:val="00A332F5"/>
    <w:rsid w:val="00A3367E"/>
    <w:rsid w:val="00A33919"/>
    <w:rsid w:val="00A33B04"/>
    <w:rsid w:val="00A33BDC"/>
    <w:rsid w:val="00A33C4B"/>
    <w:rsid w:val="00A33F15"/>
    <w:rsid w:val="00A33F5D"/>
    <w:rsid w:val="00A34234"/>
    <w:rsid w:val="00A343FA"/>
    <w:rsid w:val="00A34435"/>
    <w:rsid w:val="00A34481"/>
    <w:rsid w:val="00A34700"/>
    <w:rsid w:val="00A34884"/>
    <w:rsid w:val="00A34B97"/>
    <w:rsid w:val="00A34F85"/>
    <w:rsid w:val="00A34FF8"/>
    <w:rsid w:val="00A3502C"/>
    <w:rsid w:val="00A350F9"/>
    <w:rsid w:val="00A351E5"/>
    <w:rsid w:val="00A352DB"/>
    <w:rsid w:val="00A355FA"/>
    <w:rsid w:val="00A35A08"/>
    <w:rsid w:val="00A35C10"/>
    <w:rsid w:val="00A35C95"/>
    <w:rsid w:val="00A35D5B"/>
    <w:rsid w:val="00A35EF4"/>
    <w:rsid w:val="00A3608E"/>
    <w:rsid w:val="00A36208"/>
    <w:rsid w:val="00A3641A"/>
    <w:rsid w:val="00A3670F"/>
    <w:rsid w:val="00A36ADA"/>
    <w:rsid w:val="00A36B0A"/>
    <w:rsid w:val="00A36B73"/>
    <w:rsid w:val="00A36D45"/>
    <w:rsid w:val="00A36E32"/>
    <w:rsid w:val="00A36F20"/>
    <w:rsid w:val="00A36F33"/>
    <w:rsid w:val="00A37626"/>
    <w:rsid w:val="00A379E3"/>
    <w:rsid w:val="00A37CCF"/>
    <w:rsid w:val="00A37F27"/>
    <w:rsid w:val="00A37FBB"/>
    <w:rsid w:val="00A400BA"/>
    <w:rsid w:val="00A40215"/>
    <w:rsid w:val="00A40364"/>
    <w:rsid w:val="00A403C1"/>
    <w:rsid w:val="00A404FB"/>
    <w:rsid w:val="00A40512"/>
    <w:rsid w:val="00A406A4"/>
    <w:rsid w:val="00A40827"/>
    <w:rsid w:val="00A40A1B"/>
    <w:rsid w:val="00A40AA2"/>
    <w:rsid w:val="00A40ABF"/>
    <w:rsid w:val="00A40AEC"/>
    <w:rsid w:val="00A40BED"/>
    <w:rsid w:val="00A40C89"/>
    <w:rsid w:val="00A40CAC"/>
    <w:rsid w:val="00A40F69"/>
    <w:rsid w:val="00A41054"/>
    <w:rsid w:val="00A411A9"/>
    <w:rsid w:val="00A4120F"/>
    <w:rsid w:val="00A413EF"/>
    <w:rsid w:val="00A414FA"/>
    <w:rsid w:val="00A418A4"/>
    <w:rsid w:val="00A41927"/>
    <w:rsid w:val="00A41BDF"/>
    <w:rsid w:val="00A41CFE"/>
    <w:rsid w:val="00A42855"/>
    <w:rsid w:val="00A42974"/>
    <w:rsid w:val="00A42B96"/>
    <w:rsid w:val="00A42C58"/>
    <w:rsid w:val="00A42CD0"/>
    <w:rsid w:val="00A42F1B"/>
    <w:rsid w:val="00A432E9"/>
    <w:rsid w:val="00A4346B"/>
    <w:rsid w:val="00A43545"/>
    <w:rsid w:val="00A435CD"/>
    <w:rsid w:val="00A43614"/>
    <w:rsid w:val="00A43637"/>
    <w:rsid w:val="00A43B68"/>
    <w:rsid w:val="00A43CF1"/>
    <w:rsid w:val="00A43E3B"/>
    <w:rsid w:val="00A43E9C"/>
    <w:rsid w:val="00A44420"/>
    <w:rsid w:val="00A445FF"/>
    <w:rsid w:val="00A4485B"/>
    <w:rsid w:val="00A4494C"/>
    <w:rsid w:val="00A449E0"/>
    <w:rsid w:val="00A44B34"/>
    <w:rsid w:val="00A44B65"/>
    <w:rsid w:val="00A44BD4"/>
    <w:rsid w:val="00A44C49"/>
    <w:rsid w:val="00A44E93"/>
    <w:rsid w:val="00A44EBE"/>
    <w:rsid w:val="00A45166"/>
    <w:rsid w:val="00A452F6"/>
    <w:rsid w:val="00A4576A"/>
    <w:rsid w:val="00A45923"/>
    <w:rsid w:val="00A45A59"/>
    <w:rsid w:val="00A45BA4"/>
    <w:rsid w:val="00A45D48"/>
    <w:rsid w:val="00A45DD9"/>
    <w:rsid w:val="00A45E57"/>
    <w:rsid w:val="00A46044"/>
    <w:rsid w:val="00A46174"/>
    <w:rsid w:val="00A46465"/>
    <w:rsid w:val="00A46592"/>
    <w:rsid w:val="00A46729"/>
    <w:rsid w:val="00A46835"/>
    <w:rsid w:val="00A46850"/>
    <w:rsid w:val="00A46985"/>
    <w:rsid w:val="00A46B54"/>
    <w:rsid w:val="00A46B99"/>
    <w:rsid w:val="00A46DCD"/>
    <w:rsid w:val="00A46F26"/>
    <w:rsid w:val="00A46FE6"/>
    <w:rsid w:val="00A4702E"/>
    <w:rsid w:val="00A47087"/>
    <w:rsid w:val="00A47106"/>
    <w:rsid w:val="00A473FA"/>
    <w:rsid w:val="00A47A2F"/>
    <w:rsid w:val="00A47BED"/>
    <w:rsid w:val="00A47CC7"/>
    <w:rsid w:val="00A47DC6"/>
    <w:rsid w:val="00A47DFC"/>
    <w:rsid w:val="00A47EC1"/>
    <w:rsid w:val="00A47F9C"/>
    <w:rsid w:val="00A500EF"/>
    <w:rsid w:val="00A50245"/>
    <w:rsid w:val="00A50321"/>
    <w:rsid w:val="00A50401"/>
    <w:rsid w:val="00A508BE"/>
    <w:rsid w:val="00A50B49"/>
    <w:rsid w:val="00A50BBD"/>
    <w:rsid w:val="00A50C48"/>
    <w:rsid w:val="00A514D7"/>
    <w:rsid w:val="00A5155F"/>
    <w:rsid w:val="00A517BD"/>
    <w:rsid w:val="00A5180C"/>
    <w:rsid w:val="00A5182B"/>
    <w:rsid w:val="00A518D9"/>
    <w:rsid w:val="00A51D96"/>
    <w:rsid w:val="00A52185"/>
    <w:rsid w:val="00A5229C"/>
    <w:rsid w:val="00A5270B"/>
    <w:rsid w:val="00A52756"/>
    <w:rsid w:val="00A5291F"/>
    <w:rsid w:val="00A52973"/>
    <w:rsid w:val="00A529EC"/>
    <w:rsid w:val="00A52B11"/>
    <w:rsid w:val="00A52BA2"/>
    <w:rsid w:val="00A52E33"/>
    <w:rsid w:val="00A52FCD"/>
    <w:rsid w:val="00A53081"/>
    <w:rsid w:val="00A530AD"/>
    <w:rsid w:val="00A533F2"/>
    <w:rsid w:val="00A53422"/>
    <w:rsid w:val="00A535B7"/>
    <w:rsid w:val="00A53611"/>
    <w:rsid w:val="00A53657"/>
    <w:rsid w:val="00A53AC0"/>
    <w:rsid w:val="00A53B33"/>
    <w:rsid w:val="00A53CC6"/>
    <w:rsid w:val="00A5418A"/>
    <w:rsid w:val="00A54565"/>
    <w:rsid w:val="00A549C4"/>
    <w:rsid w:val="00A54CAD"/>
    <w:rsid w:val="00A54CEE"/>
    <w:rsid w:val="00A54CF3"/>
    <w:rsid w:val="00A54D88"/>
    <w:rsid w:val="00A55086"/>
    <w:rsid w:val="00A550EF"/>
    <w:rsid w:val="00A551F3"/>
    <w:rsid w:val="00A55251"/>
    <w:rsid w:val="00A555D4"/>
    <w:rsid w:val="00A555E4"/>
    <w:rsid w:val="00A5565A"/>
    <w:rsid w:val="00A559E3"/>
    <w:rsid w:val="00A55D10"/>
    <w:rsid w:val="00A55EEF"/>
    <w:rsid w:val="00A55F83"/>
    <w:rsid w:val="00A562F9"/>
    <w:rsid w:val="00A562FB"/>
    <w:rsid w:val="00A56310"/>
    <w:rsid w:val="00A5688C"/>
    <w:rsid w:val="00A568F5"/>
    <w:rsid w:val="00A56A7F"/>
    <w:rsid w:val="00A56B4D"/>
    <w:rsid w:val="00A56D5A"/>
    <w:rsid w:val="00A56F4E"/>
    <w:rsid w:val="00A56FDC"/>
    <w:rsid w:val="00A571B0"/>
    <w:rsid w:val="00A572C4"/>
    <w:rsid w:val="00A57312"/>
    <w:rsid w:val="00A57381"/>
    <w:rsid w:val="00A573C1"/>
    <w:rsid w:val="00A574D3"/>
    <w:rsid w:val="00A57664"/>
    <w:rsid w:val="00A57866"/>
    <w:rsid w:val="00A57AA4"/>
    <w:rsid w:val="00A6022B"/>
    <w:rsid w:val="00A603AC"/>
    <w:rsid w:val="00A603E4"/>
    <w:rsid w:val="00A60703"/>
    <w:rsid w:val="00A60793"/>
    <w:rsid w:val="00A609B2"/>
    <w:rsid w:val="00A60BAA"/>
    <w:rsid w:val="00A60D6B"/>
    <w:rsid w:val="00A60D76"/>
    <w:rsid w:val="00A60F31"/>
    <w:rsid w:val="00A6105A"/>
    <w:rsid w:val="00A611D0"/>
    <w:rsid w:val="00A6121B"/>
    <w:rsid w:val="00A61509"/>
    <w:rsid w:val="00A6153F"/>
    <w:rsid w:val="00A615E1"/>
    <w:rsid w:val="00A619FC"/>
    <w:rsid w:val="00A61B66"/>
    <w:rsid w:val="00A61E4C"/>
    <w:rsid w:val="00A62110"/>
    <w:rsid w:val="00A621BD"/>
    <w:rsid w:val="00A622CE"/>
    <w:rsid w:val="00A624FF"/>
    <w:rsid w:val="00A626BF"/>
    <w:rsid w:val="00A626E6"/>
    <w:rsid w:val="00A628C7"/>
    <w:rsid w:val="00A629BF"/>
    <w:rsid w:val="00A629C5"/>
    <w:rsid w:val="00A62A38"/>
    <w:rsid w:val="00A62B4B"/>
    <w:rsid w:val="00A62C45"/>
    <w:rsid w:val="00A62FDB"/>
    <w:rsid w:val="00A630FC"/>
    <w:rsid w:val="00A6321D"/>
    <w:rsid w:val="00A6333D"/>
    <w:rsid w:val="00A63340"/>
    <w:rsid w:val="00A63705"/>
    <w:rsid w:val="00A63729"/>
    <w:rsid w:val="00A637A8"/>
    <w:rsid w:val="00A63840"/>
    <w:rsid w:val="00A63C4D"/>
    <w:rsid w:val="00A63C61"/>
    <w:rsid w:val="00A63D86"/>
    <w:rsid w:val="00A63E1F"/>
    <w:rsid w:val="00A64317"/>
    <w:rsid w:val="00A6446A"/>
    <w:rsid w:val="00A644E0"/>
    <w:rsid w:val="00A645D8"/>
    <w:rsid w:val="00A64692"/>
    <w:rsid w:val="00A646BD"/>
    <w:rsid w:val="00A64811"/>
    <w:rsid w:val="00A64A42"/>
    <w:rsid w:val="00A64BE5"/>
    <w:rsid w:val="00A64DC3"/>
    <w:rsid w:val="00A64F51"/>
    <w:rsid w:val="00A6522E"/>
    <w:rsid w:val="00A65770"/>
    <w:rsid w:val="00A65A59"/>
    <w:rsid w:val="00A65DF5"/>
    <w:rsid w:val="00A660BA"/>
    <w:rsid w:val="00A66113"/>
    <w:rsid w:val="00A66693"/>
    <w:rsid w:val="00A66729"/>
    <w:rsid w:val="00A66968"/>
    <w:rsid w:val="00A669E8"/>
    <w:rsid w:val="00A66A1C"/>
    <w:rsid w:val="00A66A4F"/>
    <w:rsid w:val="00A66B79"/>
    <w:rsid w:val="00A66BB8"/>
    <w:rsid w:val="00A66F99"/>
    <w:rsid w:val="00A6702E"/>
    <w:rsid w:val="00A67078"/>
    <w:rsid w:val="00A67086"/>
    <w:rsid w:val="00A67207"/>
    <w:rsid w:val="00A6752B"/>
    <w:rsid w:val="00A6780D"/>
    <w:rsid w:val="00A6785A"/>
    <w:rsid w:val="00A67AE2"/>
    <w:rsid w:val="00A67C1B"/>
    <w:rsid w:val="00A67DA9"/>
    <w:rsid w:val="00A67E74"/>
    <w:rsid w:val="00A67F7B"/>
    <w:rsid w:val="00A70009"/>
    <w:rsid w:val="00A700DB"/>
    <w:rsid w:val="00A704DC"/>
    <w:rsid w:val="00A70595"/>
    <w:rsid w:val="00A706B5"/>
    <w:rsid w:val="00A70995"/>
    <w:rsid w:val="00A709C2"/>
    <w:rsid w:val="00A709E9"/>
    <w:rsid w:val="00A70B7C"/>
    <w:rsid w:val="00A70CA1"/>
    <w:rsid w:val="00A70D18"/>
    <w:rsid w:val="00A70E64"/>
    <w:rsid w:val="00A70EC7"/>
    <w:rsid w:val="00A70ED1"/>
    <w:rsid w:val="00A7121D"/>
    <w:rsid w:val="00A71385"/>
    <w:rsid w:val="00A715AF"/>
    <w:rsid w:val="00A7167C"/>
    <w:rsid w:val="00A7168C"/>
    <w:rsid w:val="00A718A1"/>
    <w:rsid w:val="00A719A8"/>
    <w:rsid w:val="00A71A11"/>
    <w:rsid w:val="00A71C62"/>
    <w:rsid w:val="00A71DAB"/>
    <w:rsid w:val="00A71F69"/>
    <w:rsid w:val="00A72129"/>
    <w:rsid w:val="00A722FE"/>
    <w:rsid w:val="00A72470"/>
    <w:rsid w:val="00A7247C"/>
    <w:rsid w:val="00A7250C"/>
    <w:rsid w:val="00A726BB"/>
    <w:rsid w:val="00A726D4"/>
    <w:rsid w:val="00A727B1"/>
    <w:rsid w:val="00A728CD"/>
    <w:rsid w:val="00A72A45"/>
    <w:rsid w:val="00A72A48"/>
    <w:rsid w:val="00A72DDA"/>
    <w:rsid w:val="00A72EA1"/>
    <w:rsid w:val="00A72FDE"/>
    <w:rsid w:val="00A73166"/>
    <w:rsid w:val="00A73202"/>
    <w:rsid w:val="00A733B3"/>
    <w:rsid w:val="00A735C2"/>
    <w:rsid w:val="00A73675"/>
    <w:rsid w:val="00A73769"/>
    <w:rsid w:val="00A7398E"/>
    <w:rsid w:val="00A73AB5"/>
    <w:rsid w:val="00A73AD7"/>
    <w:rsid w:val="00A73BFC"/>
    <w:rsid w:val="00A73C20"/>
    <w:rsid w:val="00A742B2"/>
    <w:rsid w:val="00A7432E"/>
    <w:rsid w:val="00A743FF"/>
    <w:rsid w:val="00A7463C"/>
    <w:rsid w:val="00A747B3"/>
    <w:rsid w:val="00A747FC"/>
    <w:rsid w:val="00A74B1E"/>
    <w:rsid w:val="00A74B4A"/>
    <w:rsid w:val="00A74B64"/>
    <w:rsid w:val="00A74C6B"/>
    <w:rsid w:val="00A74ED6"/>
    <w:rsid w:val="00A75080"/>
    <w:rsid w:val="00A75121"/>
    <w:rsid w:val="00A75189"/>
    <w:rsid w:val="00A75290"/>
    <w:rsid w:val="00A7538E"/>
    <w:rsid w:val="00A75785"/>
    <w:rsid w:val="00A758C8"/>
    <w:rsid w:val="00A75982"/>
    <w:rsid w:val="00A75A66"/>
    <w:rsid w:val="00A75BE2"/>
    <w:rsid w:val="00A75CE5"/>
    <w:rsid w:val="00A75EEC"/>
    <w:rsid w:val="00A7615D"/>
    <w:rsid w:val="00A76238"/>
    <w:rsid w:val="00A762BF"/>
    <w:rsid w:val="00A762EE"/>
    <w:rsid w:val="00A76431"/>
    <w:rsid w:val="00A765F8"/>
    <w:rsid w:val="00A76705"/>
    <w:rsid w:val="00A76B8D"/>
    <w:rsid w:val="00A76E6E"/>
    <w:rsid w:val="00A77247"/>
    <w:rsid w:val="00A7797E"/>
    <w:rsid w:val="00A77C7E"/>
    <w:rsid w:val="00A77DE0"/>
    <w:rsid w:val="00A77ECB"/>
    <w:rsid w:val="00A80432"/>
    <w:rsid w:val="00A8044A"/>
    <w:rsid w:val="00A804B1"/>
    <w:rsid w:val="00A80506"/>
    <w:rsid w:val="00A80550"/>
    <w:rsid w:val="00A8064A"/>
    <w:rsid w:val="00A806D1"/>
    <w:rsid w:val="00A8078D"/>
    <w:rsid w:val="00A80880"/>
    <w:rsid w:val="00A809A8"/>
    <w:rsid w:val="00A80A0B"/>
    <w:rsid w:val="00A80A5D"/>
    <w:rsid w:val="00A80A5F"/>
    <w:rsid w:val="00A80CD7"/>
    <w:rsid w:val="00A80E64"/>
    <w:rsid w:val="00A80F5C"/>
    <w:rsid w:val="00A812DC"/>
    <w:rsid w:val="00A813BB"/>
    <w:rsid w:val="00A8171E"/>
    <w:rsid w:val="00A81889"/>
    <w:rsid w:val="00A81D58"/>
    <w:rsid w:val="00A81DE1"/>
    <w:rsid w:val="00A81FDD"/>
    <w:rsid w:val="00A8208A"/>
    <w:rsid w:val="00A820B0"/>
    <w:rsid w:val="00A82269"/>
    <w:rsid w:val="00A82282"/>
    <w:rsid w:val="00A82325"/>
    <w:rsid w:val="00A82518"/>
    <w:rsid w:val="00A8256F"/>
    <w:rsid w:val="00A8276C"/>
    <w:rsid w:val="00A827B6"/>
    <w:rsid w:val="00A82967"/>
    <w:rsid w:val="00A82974"/>
    <w:rsid w:val="00A82B0B"/>
    <w:rsid w:val="00A82C51"/>
    <w:rsid w:val="00A82E51"/>
    <w:rsid w:val="00A82FD2"/>
    <w:rsid w:val="00A8303B"/>
    <w:rsid w:val="00A8315A"/>
    <w:rsid w:val="00A831FB"/>
    <w:rsid w:val="00A8333A"/>
    <w:rsid w:val="00A835FA"/>
    <w:rsid w:val="00A8368B"/>
    <w:rsid w:val="00A8389E"/>
    <w:rsid w:val="00A838D2"/>
    <w:rsid w:val="00A83999"/>
    <w:rsid w:val="00A83B0E"/>
    <w:rsid w:val="00A83BC6"/>
    <w:rsid w:val="00A83F29"/>
    <w:rsid w:val="00A84486"/>
    <w:rsid w:val="00A845FC"/>
    <w:rsid w:val="00A84797"/>
    <w:rsid w:val="00A847CA"/>
    <w:rsid w:val="00A84925"/>
    <w:rsid w:val="00A84ACD"/>
    <w:rsid w:val="00A84CA8"/>
    <w:rsid w:val="00A84DD1"/>
    <w:rsid w:val="00A85062"/>
    <w:rsid w:val="00A850BD"/>
    <w:rsid w:val="00A8523C"/>
    <w:rsid w:val="00A85332"/>
    <w:rsid w:val="00A8566A"/>
    <w:rsid w:val="00A856D0"/>
    <w:rsid w:val="00A859DB"/>
    <w:rsid w:val="00A85AD6"/>
    <w:rsid w:val="00A85ADA"/>
    <w:rsid w:val="00A85C64"/>
    <w:rsid w:val="00A85DDB"/>
    <w:rsid w:val="00A85EB5"/>
    <w:rsid w:val="00A85EC8"/>
    <w:rsid w:val="00A86086"/>
    <w:rsid w:val="00A861F2"/>
    <w:rsid w:val="00A8634B"/>
    <w:rsid w:val="00A8678D"/>
    <w:rsid w:val="00A867C8"/>
    <w:rsid w:val="00A86822"/>
    <w:rsid w:val="00A8685A"/>
    <w:rsid w:val="00A86A83"/>
    <w:rsid w:val="00A86A98"/>
    <w:rsid w:val="00A86C0F"/>
    <w:rsid w:val="00A8708F"/>
    <w:rsid w:val="00A871AA"/>
    <w:rsid w:val="00A8750F"/>
    <w:rsid w:val="00A87628"/>
    <w:rsid w:val="00A878B8"/>
    <w:rsid w:val="00A878F5"/>
    <w:rsid w:val="00A8797F"/>
    <w:rsid w:val="00A87A13"/>
    <w:rsid w:val="00A87AA0"/>
    <w:rsid w:val="00A87B02"/>
    <w:rsid w:val="00A87BA1"/>
    <w:rsid w:val="00A87BE8"/>
    <w:rsid w:val="00A87C14"/>
    <w:rsid w:val="00A87C9A"/>
    <w:rsid w:val="00A87D6C"/>
    <w:rsid w:val="00A87E97"/>
    <w:rsid w:val="00A901BD"/>
    <w:rsid w:val="00A90279"/>
    <w:rsid w:val="00A905D5"/>
    <w:rsid w:val="00A90717"/>
    <w:rsid w:val="00A90809"/>
    <w:rsid w:val="00A90C76"/>
    <w:rsid w:val="00A90E31"/>
    <w:rsid w:val="00A90E79"/>
    <w:rsid w:val="00A90EFF"/>
    <w:rsid w:val="00A90F66"/>
    <w:rsid w:val="00A9100D"/>
    <w:rsid w:val="00A91151"/>
    <w:rsid w:val="00A91265"/>
    <w:rsid w:val="00A915A6"/>
    <w:rsid w:val="00A91638"/>
    <w:rsid w:val="00A91817"/>
    <w:rsid w:val="00A9198B"/>
    <w:rsid w:val="00A91BC9"/>
    <w:rsid w:val="00A91C1E"/>
    <w:rsid w:val="00A91D05"/>
    <w:rsid w:val="00A91DB7"/>
    <w:rsid w:val="00A91E20"/>
    <w:rsid w:val="00A9246D"/>
    <w:rsid w:val="00A92511"/>
    <w:rsid w:val="00A92604"/>
    <w:rsid w:val="00A926D2"/>
    <w:rsid w:val="00A926DF"/>
    <w:rsid w:val="00A92B05"/>
    <w:rsid w:val="00A92C54"/>
    <w:rsid w:val="00A930DA"/>
    <w:rsid w:val="00A93126"/>
    <w:rsid w:val="00A93231"/>
    <w:rsid w:val="00A932B4"/>
    <w:rsid w:val="00A936EA"/>
    <w:rsid w:val="00A93849"/>
    <w:rsid w:val="00A93995"/>
    <w:rsid w:val="00A93A62"/>
    <w:rsid w:val="00A93B01"/>
    <w:rsid w:val="00A93ED2"/>
    <w:rsid w:val="00A9411B"/>
    <w:rsid w:val="00A941DC"/>
    <w:rsid w:val="00A94321"/>
    <w:rsid w:val="00A9434B"/>
    <w:rsid w:val="00A943AF"/>
    <w:rsid w:val="00A944F0"/>
    <w:rsid w:val="00A944F2"/>
    <w:rsid w:val="00A945D3"/>
    <w:rsid w:val="00A94756"/>
    <w:rsid w:val="00A94864"/>
    <w:rsid w:val="00A949BC"/>
    <w:rsid w:val="00A949CC"/>
    <w:rsid w:val="00A94A8E"/>
    <w:rsid w:val="00A94AF2"/>
    <w:rsid w:val="00A94B5D"/>
    <w:rsid w:val="00A94BA2"/>
    <w:rsid w:val="00A94DA8"/>
    <w:rsid w:val="00A94E41"/>
    <w:rsid w:val="00A951AA"/>
    <w:rsid w:val="00A95922"/>
    <w:rsid w:val="00A959C8"/>
    <w:rsid w:val="00A95A4B"/>
    <w:rsid w:val="00A95C76"/>
    <w:rsid w:val="00A95D6E"/>
    <w:rsid w:val="00A9604D"/>
    <w:rsid w:val="00A96282"/>
    <w:rsid w:val="00A964BC"/>
    <w:rsid w:val="00A96583"/>
    <w:rsid w:val="00A965A5"/>
    <w:rsid w:val="00A96664"/>
    <w:rsid w:val="00A96864"/>
    <w:rsid w:val="00A96B79"/>
    <w:rsid w:val="00A96E1C"/>
    <w:rsid w:val="00A97090"/>
    <w:rsid w:val="00A97339"/>
    <w:rsid w:val="00A97385"/>
    <w:rsid w:val="00A9750A"/>
    <w:rsid w:val="00A9763C"/>
    <w:rsid w:val="00A976ED"/>
    <w:rsid w:val="00A97BB2"/>
    <w:rsid w:val="00A97F9D"/>
    <w:rsid w:val="00AA02B0"/>
    <w:rsid w:val="00AA03F8"/>
    <w:rsid w:val="00AA0540"/>
    <w:rsid w:val="00AA080F"/>
    <w:rsid w:val="00AA0CA4"/>
    <w:rsid w:val="00AA110A"/>
    <w:rsid w:val="00AA1390"/>
    <w:rsid w:val="00AA140A"/>
    <w:rsid w:val="00AA15D1"/>
    <w:rsid w:val="00AA16BA"/>
    <w:rsid w:val="00AA18AA"/>
    <w:rsid w:val="00AA1A2D"/>
    <w:rsid w:val="00AA1B67"/>
    <w:rsid w:val="00AA1CC4"/>
    <w:rsid w:val="00AA1ECA"/>
    <w:rsid w:val="00AA1F14"/>
    <w:rsid w:val="00AA1FD9"/>
    <w:rsid w:val="00AA22F8"/>
    <w:rsid w:val="00AA23F3"/>
    <w:rsid w:val="00AA296C"/>
    <w:rsid w:val="00AA2A87"/>
    <w:rsid w:val="00AA2C37"/>
    <w:rsid w:val="00AA2C46"/>
    <w:rsid w:val="00AA2C62"/>
    <w:rsid w:val="00AA2D00"/>
    <w:rsid w:val="00AA2E7D"/>
    <w:rsid w:val="00AA32A3"/>
    <w:rsid w:val="00AA36CD"/>
    <w:rsid w:val="00AA371C"/>
    <w:rsid w:val="00AA3775"/>
    <w:rsid w:val="00AA37EF"/>
    <w:rsid w:val="00AA3938"/>
    <w:rsid w:val="00AA3A18"/>
    <w:rsid w:val="00AA3A44"/>
    <w:rsid w:val="00AA3B3F"/>
    <w:rsid w:val="00AA3D25"/>
    <w:rsid w:val="00AA3DB6"/>
    <w:rsid w:val="00AA3E99"/>
    <w:rsid w:val="00AA3EC1"/>
    <w:rsid w:val="00AA3F2A"/>
    <w:rsid w:val="00AA42E5"/>
    <w:rsid w:val="00AA436B"/>
    <w:rsid w:val="00AA46B0"/>
    <w:rsid w:val="00AA4719"/>
    <w:rsid w:val="00AA4864"/>
    <w:rsid w:val="00AA4AFE"/>
    <w:rsid w:val="00AA4B52"/>
    <w:rsid w:val="00AA4EAD"/>
    <w:rsid w:val="00AA4F6F"/>
    <w:rsid w:val="00AA4F7C"/>
    <w:rsid w:val="00AA4F8D"/>
    <w:rsid w:val="00AA50CC"/>
    <w:rsid w:val="00AA511A"/>
    <w:rsid w:val="00AA5312"/>
    <w:rsid w:val="00AA53BF"/>
    <w:rsid w:val="00AA56DF"/>
    <w:rsid w:val="00AA595A"/>
    <w:rsid w:val="00AA5A96"/>
    <w:rsid w:val="00AA5C08"/>
    <w:rsid w:val="00AA5C1D"/>
    <w:rsid w:val="00AA5D74"/>
    <w:rsid w:val="00AA5DBB"/>
    <w:rsid w:val="00AA60FD"/>
    <w:rsid w:val="00AA6149"/>
    <w:rsid w:val="00AA62D0"/>
    <w:rsid w:val="00AA637C"/>
    <w:rsid w:val="00AA648C"/>
    <w:rsid w:val="00AA6554"/>
    <w:rsid w:val="00AA673F"/>
    <w:rsid w:val="00AA6804"/>
    <w:rsid w:val="00AA6862"/>
    <w:rsid w:val="00AA6952"/>
    <w:rsid w:val="00AA6D20"/>
    <w:rsid w:val="00AA6EF9"/>
    <w:rsid w:val="00AA6F9C"/>
    <w:rsid w:val="00AA7246"/>
    <w:rsid w:val="00AA781D"/>
    <w:rsid w:val="00AA7924"/>
    <w:rsid w:val="00AA7C64"/>
    <w:rsid w:val="00AA7E07"/>
    <w:rsid w:val="00AA7EA1"/>
    <w:rsid w:val="00AB0059"/>
    <w:rsid w:val="00AB00BB"/>
    <w:rsid w:val="00AB015F"/>
    <w:rsid w:val="00AB0310"/>
    <w:rsid w:val="00AB064D"/>
    <w:rsid w:val="00AB0889"/>
    <w:rsid w:val="00AB0C2B"/>
    <w:rsid w:val="00AB0FE3"/>
    <w:rsid w:val="00AB1005"/>
    <w:rsid w:val="00AB1037"/>
    <w:rsid w:val="00AB106E"/>
    <w:rsid w:val="00AB108C"/>
    <w:rsid w:val="00AB1229"/>
    <w:rsid w:val="00AB1792"/>
    <w:rsid w:val="00AB190F"/>
    <w:rsid w:val="00AB1969"/>
    <w:rsid w:val="00AB19A4"/>
    <w:rsid w:val="00AB19E6"/>
    <w:rsid w:val="00AB1A34"/>
    <w:rsid w:val="00AB1A5B"/>
    <w:rsid w:val="00AB1B4E"/>
    <w:rsid w:val="00AB1BFF"/>
    <w:rsid w:val="00AB1E99"/>
    <w:rsid w:val="00AB2102"/>
    <w:rsid w:val="00AB216E"/>
    <w:rsid w:val="00AB230F"/>
    <w:rsid w:val="00AB2364"/>
    <w:rsid w:val="00AB247C"/>
    <w:rsid w:val="00AB2577"/>
    <w:rsid w:val="00AB2658"/>
    <w:rsid w:val="00AB2881"/>
    <w:rsid w:val="00AB28F5"/>
    <w:rsid w:val="00AB29AA"/>
    <w:rsid w:val="00AB2DDE"/>
    <w:rsid w:val="00AB3116"/>
    <w:rsid w:val="00AB3155"/>
    <w:rsid w:val="00AB32D1"/>
    <w:rsid w:val="00AB3359"/>
    <w:rsid w:val="00AB35BC"/>
    <w:rsid w:val="00AB3762"/>
    <w:rsid w:val="00AB392B"/>
    <w:rsid w:val="00AB39DD"/>
    <w:rsid w:val="00AB3A26"/>
    <w:rsid w:val="00AB3B60"/>
    <w:rsid w:val="00AB3D63"/>
    <w:rsid w:val="00AB3D69"/>
    <w:rsid w:val="00AB3E30"/>
    <w:rsid w:val="00AB3FA4"/>
    <w:rsid w:val="00AB41DB"/>
    <w:rsid w:val="00AB4460"/>
    <w:rsid w:val="00AB4597"/>
    <w:rsid w:val="00AB47BE"/>
    <w:rsid w:val="00AB47D8"/>
    <w:rsid w:val="00AB48CB"/>
    <w:rsid w:val="00AB4AA5"/>
    <w:rsid w:val="00AB4E92"/>
    <w:rsid w:val="00AB501E"/>
    <w:rsid w:val="00AB5805"/>
    <w:rsid w:val="00AB5823"/>
    <w:rsid w:val="00AB590E"/>
    <w:rsid w:val="00AB5FEE"/>
    <w:rsid w:val="00AB63E5"/>
    <w:rsid w:val="00AB640A"/>
    <w:rsid w:val="00AB6467"/>
    <w:rsid w:val="00AB64A7"/>
    <w:rsid w:val="00AB64F4"/>
    <w:rsid w:val="00AB651C"/>
    <w:rsid w:val="00AB65A1"/>
    <w:rsid w:val="00AB65D5"/>
    <w:rsid w:val="00AB65EB"/>
    <w:rsid w:val="00AB6708"/>
    <w:rsid w:val="00AB6A78"/>
    <w:rsid w:val="00AB6B07"/>
    <w:rsid w:val="00AB6DC7"/>
    <w:rsid w:val="00AB6F2B"/>
    <w:rsid w:val="00AB748B"/>
    <w:rsid w:val="00AB7597"/>
    <w:rsid w:val="00AB7686"/>
    <w:rsid w:val="00AB768E"/>
    <w:rsid w:val="00AB7881"/>
    <w:rsid w:val="00AB78AE"/>
    <w:rsid w:val="00AB7914"/>
    <w:rsid w:val="00AB79C5"/>
    <w:rsid w:val="00AB7C63"/>
    <w:rsid w:val="00AB7E05"/>
    <w:rsid w:val="00AB7F6D"/>
    <w:rsid w:val="00AC07CB"/>
    <w:rsid w:val="00AC0A16"/>
    <w:rsid w:val="00AC0A1C"/>
    <w:rsid w:val="00AC0C15"/>
    <w:rsid w:val="00AC0EBF"/>
    <w:rsid w:val="00AC10BB"/>
    <w:rsid w:val="00AC1312"/>
    <w:rsid w:val="00AC1954"/>
    <w:rsid w:val="00AC1DD5"/>
    <w:rsid w:val="00AC1E61"/>
    <w:rsid w:val="00AC2053"/>
    <w:rsid w:val="00AC209F"/>
    <w:rsid w:val="00AC21CB"/>
    <w:rsid w:val="00AC24D6"/>
    <w:rsid w:val="00AC24ED"/>
    <w:rsid w:val="00AC2695"/>
    <w:rsid w:val="00AC26E6"/>
    <w:rsid w:val="00AC292C"/>
    <w:rsid w:val="00AC2A1A"/>
    <w:rsid w:val="00AC2D87"/>
    <w:rsid w:val="00AC3228"/>
    <w:rsid w:val="00AC3382"/>
    <w:rsid w:val="00AC354E"/>
    <w:rsid w:val="00AC361B"/>
    <w:rsid w:val="00AC364E"/>
    <w:rsid w:val="00AC3732"/>
    <w:rsid w:val="00AC378A"/>
    <w:rsid w:val="00AC37F3"/>
    <w:rsid w:val="00AC3BA7"/>
    <w:rsid w:val="00AC3F70"/>
    <w:rsid w:val="00AC4012"/>
    <w:rsid w:val="00AC4075"/>
    <w:rsid w:val="00AC4161"/>
    <w:rsid w:val="00AC4465"/>
    <w:rsid w:val="00AC4719"/>
    <w:rsid w:val="00AC47F4"/>
    <w:rsid w:val="00AC4A63"/>
    <w:rsid w:val="00AC4D4F"/>
    <w:rsid w:val="00AC4E04"/>
    <w:rsid w:val="00AC4F15"/>
    <w:rsid w:val="00AC50F5"/>
    <w:rsid w:val="00AC50F7"/>
    <w:rsid w:val="00AC54A6"/>
    <w:rsid w:val="00AC556F"/>
    <w:rsid w:val="00AC584A"/>
    <w:rsid w:val="00AC58B2"/>
    <w:rsid w:val="00AC5F65"/>
    <w:rsid w:val="00AC626D"/>
    <w:rsid w:val="00AC62A2"/>
    <w:rsid w:val="00AC64C7"/>
    <w:rsid w:val="00AC6561"/>
    <w:rsid w:val="00AC65D3"/>
    <w:rsid w:val="00AC699C"/>
    <w:rsid w:val="00AC6B6F"/>
    <w:rsid w:val="00AC6BAF"/>
    <w:rsid w:val="00AC6CD3"/>
    <w:rsid w:val="00AC6F3C"/>
    <w:rsid w:val="00AC6FD2"/>
    <w:rsid w:val="00AC703A"/>
    <w:rsid w:val="00AC7085"/>
    <w:rsid w:val="00AC70D6"/>
    <w:rsid w:val="00AC7150"/>
    <w:rsid w:val="00AC7172"/>
    <w:rsid w:val="00AC74AD"/>
    <w:rsid w:val="00AC7567"/>
    <w:rsid w:val="00AC7609"/>
    <w:rsid w:val="00AC7855"/>
    <w:rsid w:val="00AC79F6"/>
    <w:rsid w:val="00AC7A3D"/>
    <w:rsid w:val="00AC7F58"/>
    <w:rsid w:val="00AD01C3"/>
    <w:rsid w:val="00AD028B"/>
    <w:rsid w:val="00AD02EA"/>
    <w:rsid w:val="00AD0335"/>
    <w:rsid w:val="00AD0345"/>
    <w:rsid w:val="00AD038C"/>
    <w:rsid w:val="00AD0484"/>
    <w:rsid w:val="00AD0586"/>
    <w:rsid w:val="00AD06A9"/>
    <w:rsid w:val="00AD0726"/>
    <w:rsid w:val="00AD0844"/>
    <w:rsid w:val="00AD0870"/>
    <w:rsid w:val="00AD0A17"/>
    <w:rsid w:val="00AD0BB4"/>
    <w:rsid w:val="00AD0EC3"/>
    <w:rsid w:val="00AD1017"/>
    <w:rsid w:val="00AD11B2"/>
    <w:rsid w:val="00AD12BA"/>
    <w:rsid w:val="00AD144A"/>
    <w:rsid w:val="00AD149D"/>
    <w:rsid w:val="00AD1741"/>
    <w:rsid w:val="00AD19B9"/>
    <w:rsid w:val="00AD1B7B"/>
    <w:rsid w:val="00AD1CB7"/>
    <w:rsid w:val="00AD259C"/>
    <w:rsid w:val="00AD25FF"/>
    <w:rsid w:val="00AD2635"/>
    <w:rsid w:val="00AD277A"/>
    <w:rsid w:val="00AD2838"/>
    <w:rsid w:val="00AD2976"/>
    <w:rsid w:val="00AD2C69"/>
    <w:rsid w:val="00AD33EA"/>
    <w:rsid w:val="00AD3576"/>
    <w:rsid w:val="00AD36E5"/>
    <w:rsid w:val="00AD3712"/>
    <w:rsid w:val="00AD372E"/>
    <w:rsid w:val="00AD3779"/>
    <w:rsid w:val="00AD3891"/>
    <w:rsid w:val="00AD395B"/>
    <w:rsid w:val="00AD3AA0"/>
    <w:rsid w:val="00AD3C90"/>
    <w:rsid w:val="00AD3CCB"/>
    <w:rsid w:val="00AD3E7F"/>
    <w:rsid w:val="00AD3E85"/>
    <w:rsid w:val="00AD3EC1"/>
    <w:rsid w:val="00AD4166"/>
    <w:rsid w:val="00AD4207"/>
    <w:rsid w:val="00AD42EE"/>
    <w:rsid w:val="00AD49C1"/>
    <w:rsid w:val="00AD4ADD"/>
    <w:rsid w:val="00AD50F1"/>
    <w:rsid w:val="00AD5145"/>
    <w:rsid w:val="00AD5221"/>
    <w:rsid w:val="00AD55D7"/>
    <w:rsid w:val="00AD58D7"/>
    <w:rsid w:val="00AD5A52"/>
    <w:rsid w:val="00AD5B89"/>
    <w:rsid w:val="00AD6180"/>
    <w:rsid w:val="00AD6644"/>
    <w:rsid w:val="00AD6674"/>
    <w:rsid w:val="00AD66D4"/>
    <w:rsid w:val="00AD688F"/>
    <w:rsid w:val="00AD68FD"/>
    <w:rsid w:val="00AD6988"/>
    <w:rsid w:val="00AD699D"/>
    <w:rsid w:val="00AD6B94"/>
    <w:rsid w:val="00AD6BBF"/>
    <w:rsid w:val="00AD6D28"/>
    <w:rsid w:val="00AD6E68"/>
    <w:rsid w:val="00AD6E77"/>
    <w:rsid w:val="00AD6EC1"/>
    <w:rsid w:val="00AD7421"/>
    <w:rsid w:val="00AD75C3"/>
    <w:rsid w:val="00AD75E3"/>
    <w:rsid w:val="00AD7AC1"/>
    <w:rsid w:val="00AD7D09"/>
    <w:rsid w:val="00AD7DB9"/>
    <w:rsid w:val="00AE0407"/>
    <w:rsid w:val="00AE08E3"/>
    <w:rsid w:val="00AE0956"/>
    <w:rsid w:val="00AE0BD1"/>
    <w:rsid w:val="00AE0C02"/>
    <w:rsid w:val="00AE0C87"/>
    <w:rsid w:val="00AE0D06"/>
    <w:rsid w:val="00AE0D6D"/>
    <w:rsid w:val="00AE0E1C"/>
    <w:rsid w:val="00AE0FEC"/>
    <w:rsid w:val="00AE1130"/>
    <w:rsid w:val="00AE12FA"/>
    <w:rsid w:val="00AE1313"/>
    <w:rsid w:val="00AE140E"/>
    <w:rsid w:val="00AE1418"/>
    <w:rsid w:val="00AE146A"/>
    <w:rsid w:val="00AE1604"/>
    <w:rsid w:val="00AE16B5"/>
    <w:rsid w:val="00AE1870"/>
    <w:rsid w:val="00AE187F"/>
    <w:rsid w:val="00AE1EB1"/>
    <w:rsid w:val="00AE1FB2"/>
    <w:rsid w:val="00AE202B"/>
    <w:rsid w:val="00AE2200"/>
    <w:rsid w:val="00AE22CE"/>
    <w:rsid w:val="00AE25A1"/>
    <w:rsid w:val="00AE2ABC"/>
    <w:rsid w:val="00AE2BA8"/>
    <w:rsid w:val="00AE2F8C"/>
    <w:rsid w:val="00AE3144"/>
    <w:rsid w:val="00AE31C8"/>
    <w:rsid w:val="00AE3200"/>
    <w:rsid w:val="00AE342A"/>
    <w:rsid w:val="00AE3431"/>
    <w:rsid w:val="00AE346A"/>
    <w:rsid w:val="00AE35E6"/>
    <w:rsid w:val="00AE3780"/>
    <w:rsid w:val="00AE38F6"/>
    <w:rsid w:val="00AE3CBF"/>
    <w:rsid w:val="00AE3E5B"/>
    <w:rsid w:val="00AE3ED4"/>
    <w:rsid w:val="00AE40D7"/>
    <w:rsid w:val="00AE4145"/>
    <w:rsid w:val="00AE4166"/>
    <w:rsid w:val="00AE41C6"/>
    <w:rsid w:val="00AE41DD"/>
    <w:rsid w:val="00AE461E"/>
    <w:rsid w:val="00AE46B8"/>
    <w:rsid w:val="00AE47F7"/>
    <w:rsid w:val="00AE4B89"/>
    <w:rsid w:val="00AE4BEB"/>
    <w:rsid w:val="00AE4CEC"/>
    <w:rsid w:val="00AE4E61"/>
    <w:rsid w:val="00AE4F08"/>
    <w:rsid w:val="00AE5100"/>
    <w:rsid w:val="00AE53D0"/>
    <w:rsid w:val="00AE548C"/>
    <w:rsid w:val="00AE5525"/>
    <w:rsid w:val="00AE58D6"/>
    <w:rsid w:val="00AE5AC4"/>
    <w:rsid w:val="00AE5B26"/>
    <w:rsid w:val="00AE5B7E"/>
    <w:rsid w:val="00AE5CDA"/>
    <w:rsid w:val="00AE6143"/>
    <w:rsid w:val="00AE61FF"/>
    <w:rsid w:val="00AE620B"/>
    <w:rsid w:val="00AE6392"/>
    <w:rsid w:val="00AE646F"/>
    <w:rsid w:val="00AE6509"/>
    <w:rsid w:val="00AE663D"/>
    <w:rsid w:val="00AE677B"/>
    <w:rsid w:val="00AE677D"/>
    <w:rsid w:val="00AE6866"/>
    <w:rsid w:val="00AE6C56"/>
    <w:rsid w:val="00AE6E9C"/>
    <w:rsid w:val="00AE6F68"/>
    <w:rsid w:val="00AE6FD0"/>
    <w:rsid w:val="00AE725C"/>
    <w:rsid w:val="00AE7535"/>
    <w:rsid w:val="00AE76E2"/>
    <w:rsid w:val="00AE7862"/>
    <w:rsid w:val="00AE7BC1"/>
    <w:rsid w:val="00AE7E0A"/>
    <w:rsid w:val="00AF021E"/>
    <w:rsid w:val="00AF0534"/>
    <w:rsid w:val="00AF053A"/>
    <w:rsid w:val="00AF0714"/>
    <w:rsid w:val="00AF0787"/>
    <w:rsid w:val="00AF082E"/>
    <w:rsid w:val="00AF0944"/>
    <w:rsid w:val="00AF0A6A"/>
    <w:rsid w:val="00AF0B84"/>
    <w:rsid w:val="00AF0CAB"/>
    <w:rsid w:val="00AF0CDF"/>
    <w:rsid w:val="00AF0ECD"/>
    <w:rsid w:val="00AF103B"/>
    <w:rsid w:val="00AF1071"/>
    <w:rsid w:val="00AF107F"/>
    <w:rsid w:val="00AF109E"/>
    <w:rsid w:val="00AF112A"/>
    <w:rsid w:val="00AF1432"/>
    <w:rsid w:val="00AF14D6"/>
    <w:rsid w:val="00AF1B04"/>
    <w:rsid w:val="00AF1D6B"/>
    <w:rsid w:val="00AF20A6"/>
    <w:rsid w:val="00AF20E4"/>
    <w:rsid w:val="00AF21D9"/>
    <w:rsid w:val="00AF2217"/>
    <w:rsid w:val="00AF23F2"/>
    <w:rsid w:val="00AF262C"/>
    <w:rsid w:val="00AF28D1"/>
    <w:rsid w:val="00AF2940"/>
    <w:rsid w:val="00AF2B92"/>
    <w:rsid w:val="00AF313C"/>
    <w:rsid w:val="00AF316B"/>
    <w:rsid w:val="00AF33A7"/>
    <w:rsid w:val="00AF364B"/>
    <w:rsid w:val="00AF38AA"/>
    <w:rsid w:val="00AF39E3"/>
    <w:rsid w:val="00AF3B9C"/>
    <w:rsid w:val="00AF3D78"/>
    <w:rsid w:val="00AF3FA1"/>
    <w:rsid w:val="00AF40C4"/>
    <w:rsid w:val="00AF4159"/>
    <w:rsid w:val="00AF4164"/>
    <w:rsid w:val="00AF47A0"/>
    <w:rsid w:val="00AF4886"/>
    <w:rsid w:val="00AF488A"/>
    <w:rsid w:val="00AF496A"/>
    <w:rsid w:val="00AF4B38"/>
    <w:rsid w:val="00AF4B5F"/>
    <w:rsid w:val="00AF4CBB"/>
    <w:rsid w:val="00AF4CC2"/>
    <w:rsid w:val="00AF4EA0"/>
    <w:rsid w:val="00AF4F2C"/>
    <w:rsid w:val="00AF5039"/>
    <w:rsid w:val="00AF54E4"/>
    <w:rsid w:val="00AF5585"/>
    <w:rsid w:val="00AF582D"/>
    <w:rsid w:val="00AF58DC"/>
    <w:rsid w:val="00AF597F"/>
    <w:rsid w:val="00AF5A82"/>
    <w:rsid w:val="00AF5BFE"/>
    <w:rsid w:val="00AF5D2B"/>
    <w:rsid w:val="00AF5DC8"/>
    <w:rsid w:val="00AF5DD5"/>
    <w:rsid w:val="00AF5EFC"/>
    <w:rsid w:val="00AF5F07"/>
    <w:rsid w:val="00AF6126"/>
    <w:rsid w:val="00AF668F"/>
    <w:rsid w:val="00AF6695"/>
    <w:rsid w:val="00AF66AF"/>
    <w:rsid w:val="00AF699F"/>
    <w:rsid w:val="00AF69E3"/>
    <w:rsid w:val="00AF6D52"/>
    <w:rsid w:val="00AF6E00"/>
    <w:rsid w:val="00AF6E72"/>
    <w:rsid w:val="00AF6E93"/>
    <w:rsid w:val="00AF6EF1"/>
    <w:rsid w:val="00AF7049"/>
    <w:rsid w:val="00AF70B7"/>
    <w:rsid w:val="00AF7260"/>
    <w:rsid w:val="00AF7307"/>
    <w:rsid w:val="00AF743A"/>
    <w:rsid w:val="00AF74CD"/>
    <w:rsid w:val="00AF74E3"/>
    <w:rsid w:val="00AF74EE"/>
    <w:rsid w:val="00AF7757"/>
    <w:rsid w:val="00AF77EF"/>
    <w:rsid w:val="00AF7A67"/>
    <w:rsid w:val="00AF7ACD"/>
    <w:rsid w:val="00AF7B58"/>
    <w:rsid w:val="00AF7D32"/>
    <w:rsid w:val="00AF7D97"/>
    <w:rsid w:val="00AF7F46"/>
    <w:rsid w:val="00B002A6"/>
    <w:rsid w:val="00B003CD"/>
    <w:rsid w:val="00B00739"/>
    <w:rsid w:val="00B00779"/>
    <w:rsid w:val="00B00B26"/>
    <w:rsid w:val="00B00C55"/>
    <w:rsid w:val="00B00F7F"/>
    <w:rsid w:val="00B010D1"/>
    <w:rsid w:val="00B0172D"/>
    <w:rsid w:val="00B019BB"/>
    <w:rsid w:val="00B01CE7"/>
    <w:rsid w:val="00B01E6C"/>
    <w:rsid w:val="00B01EE0"/>
    <w:rsid w:val="00B01EF2"/>
    <w:rsid w:val="00B01FFB"/>
    <w:rsid w:val="00B020CA"/>
    <w:rsid w:val="00B026AE"/>
    <w:rsid w:val="00B0292D"/>
    <w:rsid w:val="00B029EC"/>
    <w:rsid w:val="00B02ACE"/>
    <w:rsid w:val="00B02C47"/>
    <w:rsid w:val="00B02CC1"/>
    <w:rsid w:val="00B02D76"/>
    <w:rsid w:val="00B02DE2"/>
    <w:rsid w:val="00B02E49"/>
    <w:rsid w:val="00B02FCF"/>
    <w:rsid w:val="00B0360C"/>
    <w:rsid w:val="00B03610"/>
    <w:rsid w:val="00B03B09"/>
    <w:rsid w:val="00B03B0B"/>
    <w:rsid w:val="00B03B4A"/>
    <w:rsid w:val="00B03C42"/>
    <w:rsid w:val="00B03CFA"/>
    <w:rsid w:val="00B03F50"/>
    <w:rsid w:val="00B03F78"/>
    <w:rsid w:val="00B04031"/>
    <w:rsid w:val="00B0456E"/>
    <w:rsid w:val="00B046C2"/>
    <w:rsid w:val="00B04745"/>
    <w:rsid w:val="00B048A3"/>
    <w:rsid w:val="00B04940"/>
    <w:rsid w:val="00B04A2C"/>
    <w:rsid w:val="00B04B05"/>
    <w:rsid w:val="00B04B25"/>
    <w:rsid w:val="00B04BF5"/>
    <w:rsid w:val="00B04C3D"/>
    <w:rsid w:val="00B04D24"/>
    <w:rsid w:val="00B04F9A"/>
    <w:rsid w:val="00B0524A"/>
    <w:rsid w:val="00B0531D"/>
    <w:rsid w:val="00B05362"/>
    <w:rsid w:val="00B05571"/>
    <w:rsid w:val="00B05646"/>
    <w:rsid w:val="00B05859"/>
    <w:rsid w:val="00B05DEC"/>
    <w:rsid w:val="00B05E69"/>
    <w:rsid w:val="00B05FB8"/>
    <w:rsid w:val="00B05FF7"/>
    <w:rsid w:val="00B060B4"/>
    <w:rsid w:val="00B060C5"/>
    <w:rsid w:val="00B06296"/>
    <w:rsid w:val="00B064BB"/>
    <w:rsid w:val="00B0651E"/>
    <w:rsid w:val="00B06716"/>
    <w:rsid w:val="00B0686F"/>
    <w:rsid w:val="00B06926"/>
    <w:rsid w:val="00B06AD4"/>
    <w:rsid w:val="00B06BFE"/>
    <w:rsid w:val="00B06C81"/>
    <w:rsid w:val="00B06F07"/>
    <w:rsid w:val="00B06F09"/>
    <w:rsid w:val="00B06FC5"/>
    <w:rsid w:val="00B0701C"/>
    <w:rsid w:val="00B07038"/>
    <w:rsid w:val="00B0706F"/>
    <w:rsid w:val="00B073D7"/>
    <w:rsid w:val="00B07485"/>
    <w:rsid w:val="00B078C8"/>
    <w:rsid w:val="00B07D8D"/>
    <w:rsid w:val="00B07E41"/>
    <w:rsid w:val="00B10033"/>
    <w:rsid w:val="00B10175"/>
    <w:rsid w:val="00B10192"/>
    <w:rsid w:val="00B1025B"/>
    <w:rsid w:val="00B102B2"/>
    <w:rsid w:val="00B10333"/>
    <w:rsid w:val="00B104BC"/>
    <w:rsid w:val="00B106A8"/>
    <w:rsid w:val="00B10753"/>
    <w:rsid w:val="00B1076D"/>
    <w:rsid w:val="00B107EE"/>
    <w:rsid w:val="00B1090E"/>
    <w:rsid w:val="00B10B21"/>
    <w:rsid w:val="00B10BDB"/>
    <w:rsid w:val="00B10C2F"/>
    <w:rsid w:val="00B10EB8"/>
    <w:rsid w:val="00B11153"/>
    <w:rsid w:val="00B111A5"/>
    <w:rsid w:val="00B113B8"/>
    <w:rsid w:val="00B113F8"/>
    <w:rsid w:val="00B11427"/>
    <w:rsid w:val="00B1147E"/>
    <w:rsid w:val="00B114D3"/>
    <w:rsid w:val="00B115B7"/>
    <w:rsid w:val="00B119AA"/>
    <w:rsid w:val="00B11A2D"/>
    <w:rsid w:val="00B11B85"/>
    <w:rsid w:val="00B11BDE"/>
    <w:rsid w:val="00B11EA6"/>
    <w:rsid w:val="00B1240C"/>
    <w:rsid w:val="00B12491"/>
    <w:rsid w:val="00B124CA"/>
    <w:rsid w:val="00B12635"/>
    <w:rsid w:val="00B12ACA"/>
    <w:rsid w:val="00B12E0C"/>
    <w:rsid w:val="00B12E65"/>
    <w:rsid w:val="00B12FE5"/>
    <w:rsid w:val="00B131AD"/>
    <w:rsid w:val="00B1321A"/>
    <w:rsid w:val="00B133D7"/>
    <w:rsid w:val="00B134A9"/>
    <w:rsid w:val="00B13618"/>
    <w:rsid w:val="00B136BB"/>
    <w:rsid w:val="00B13708"/>
    <w:rsid w:val="00B1394A"/>
    <w:rsid w:val="00B13CF1"/>
    <w:rsid w:val="00B13F01"/>
    <w:rsid w:val="00B140D6"/>
    <w:rsid w:val="00B142DA"/>
    <w:rsid w:val="00B1430C"/>
    <w:rsid w:val="00B148B6"/>
    <w:rsid w:val="00B14B13"/>
    <w:rsid w:val="00B14BA2"/>
    <w:rsid w:val="00B14D5C"/>
    <w:rsid w:val="00B14E78"/>
    <w:rsid w:val="00B14FCD"/>
    <w:rsid w:val="00B150DF"/>
    <w:rsid w:val="00B151C8"/>
    <w:rsid w:val="00B15212"/>
    <w:rsid w:val="00B15372"/>
    <w:rsid w:val="00B15414"/>
    <w:rsid w:val="00B154B8"/>
    <w:rsid w:val="00B15603"/>
    <w:rsid w:val="00B15728"/>
    <w:rsid w:val="00B158E8"/>
    <w:rsid w:val="00B159F1"/>
    <w:rsid w:val="00B15A2F"/>
    <w:rsid w:val="00B15A44"/>
    <w:rsid w:val="00B15B19"/>
    <w:rsid w:val="00B15D53"/>
    <w:rsid w:val="00B15DAD"/>
    <w:rsid w:val="00B15DF3"/>
    <w:rsid w:val="00B15F39"/>
    <w:rsid w:val="00B16091"/>
    <w:rsid w:val="00B16200"/>
    <w:rsid w:val="00B16246"/>
    <w:rsid w:val="00B167E2"/>
    <w:rsid w:val="00B16BFC"/>
    <w:rsid w:val="00B16CC8"/>
    <w:rsid w:val="00B16CEC"/>
    <w:rsid w:val="00B16E0A"/>
    <w:rsid w:val="00B16EE6"/>
    <w:rsid w:val="00B173B9"/>
    <w:rsid w:val="00B17451"/>
    <w:rsid w:val="00B17593"/>
    <w:rsid w:val="00B175AC"/>
    <w:rsid w:val="00B1766E"/>
    <w:rsid w:val="00B17887"/>
    <w:rsid w:val="00B179C6"/>
    <w:rsid w:val="00B17A3C"/>
    <w:rsid w:val="00B17AB9"/>
    <w:rsid w:val="00B17BE8"/>
    <w:rsid w:val="00B17D65"/>
    <w:rsid w:val="00B2002B"/>
    <w:rsid w:val="00B2004A"/>
    <w:rsid w:val="00B2005C"/>
    <w:rsid w:val="00B20065"/>
    <w:rsid w:val="00B201E7"/>
    <w:rsid w:val="00B2038F"/>
    <w:rsid w:val="00B205EE"/>
    <w:rsid w:val="00B2064B"/>
    <w:rsid w:val="00B206E7"/>
    <w:rsid w:val="00B207D3"/>
    <w:rsid w:val="00B207ED"/>
    <w:rsid w:val="00B20D7D"/>
    <w:rsid w:val="00B20E0E"/>
    <w:rsid w:val="00B20EAB"/>
    <w:rsid w:val="00B20FA6"/>
    <w:rsid w:val="00B212ED"/>
    <w:rsid w:val="00B21373"/>
    <w:rsid w:val="00B21377"/>
    <w:rsid w:val="00B2169A"/>
    <w:rsid w:val="00B216F6"/>
    <w:rsid w:val="00B21724"/>
    <w:rsid w:val="00B2190E"/>
    <w:rsid w:val="00B21A06"/>
    <w:rsid w:val="00B21B25"/>
    <w:rsid w:val="00B21D73"/>
    <w:rsid w:val="00B21E35"/>
    <w:rsid w:val="00B21EE5"/>
    <w:rsid w:val="00B2212D"/>
    <w:rsid w:val="00B22176"/>
    <w:rsid w:val="00B223EE"/>
    <w:rsid w:val="00B2261B"/>
    <w:rsid w:val="00B2268E"/>
    <w:rsid w:val="00B22CE2"/>
    <w:rsid w:val="00B22D08"/>
    <w:rsid w:val="00B23197"/>
    <w:rsid w:val="00B232EF"/>
    <w:rsid w:val="00B234C8"/>
    <w:rsid w:val="00B23634"/>
    <w:rsid w:val="00B236FA"/>
    <w:rsid w:val="00B23DC6"/>
    <w:rsid w:val="00B23FE2"/>
    <w:rsid w:val="00B24103"/>
    <w:rsid w:val="00B244A9"/>
    <w:rsid w:val="00B244F2"/>
    <w:rsid w:val="00B24557"/>
    <w:rsid w:val="00B24918"/>
    <w:rsid w:val="00B249F7"/>
    <w:rsid w:val="00B24DAC"/>
    <w:rsid w:val="00B24DCA"/>
    <w:rsid w:val="00B24E34"/>
    <w:rsid w:val="00B24E56"/>
    <w:rsid w:val="00B24EF0"/>
    <w:rsid w:val="00B24F4C"/>
    <w:rsid w:val="00B250B6"/>
    <w:rsid w:val="00B250CE"/>
    <w:rsid w:val="00B25124"/>
    <w:rsid w:val="00B25347"/>
    <w:rsid w:val="00B25350"/>
    <w:rsid w:val="00B25581"/>
    <w:rsid w:val="00B25743"/>
    <w:rsid w:val="00B257D9"/>
    <w:rsid w:val="00B258BF"/>
    <w:rsid w:val="00B2593D"/>
    <w:rsid w:val="00B25954"/>
    <w:rsid w:val="00B25F05"/>
    <w:rsid w:val="00B25FD0"/>
    <w:rsid w:val="00B26237"/>
    <w:rsid w:val="00B2634E"/>
    <w:rsid w:val="00B26650"/>
    <w:rsid w:val="00B26972"/>
    <w:rsid w:val="00B271DC"/>
    <w:rsid w:val="00B27642"/>
    <w:rsid w:val="00B27798"/>
    <w:rsid w:val="00B27829"/>
    <w:rsid w:val="00B27831"/>
    <w:rsid w:val="00B27A81"/>
    <w:rsid w:val="00B27B1B"/>
    <w:rsid w:val="00B27D0E"/>
    <w:rsid w:val="00B27E11"/>
    <w:rsid w:val="00B301BA"/>
    <w:rsid w:val="00B3029B"/>
    <w:rsid w:val="00B305BA"/>
    <w:rsid w:val="00B305E3"/>
    <w:rsid w:val="00B3065F"/>
    <w:rsid w:val="00B30760"/>
    <w:rsid w:val="00B30765"/>
    <w:rsid w:val="00B30840"/>
    <w:rsid w:val="00B30C2A"/>
    <w:rsid w:val="00B30E4E"/>
    <w:rsid w:val="00B30E6D"/>
    <w:rsid w:val="00B30E90"/>
    <w:rsid w:val="00B30F80"/>
    <w:rsid w:val="00B30FE6"/>
    <w:rsid w:val="00B314C2"/>
    <w:rsid w:val="00B314CB"/>
    <w:rsid w:val="00B315FA"/>
    <w:rsid w:val="00B31655"/>
    <w:rsid w:val="00B31832"/>
    <w:rsid w:val="00B319A2"/>
    <w:rsid w:val="00B31EF9"/>
    <w:rsid w:val="00B32885"/>
    <w:rsid w:val="00B32A24"/>
    <w:rsid w:val="00B32C33"/>
    <w:rsid w:val="00B32D97"/>
    <w:rsid w:val="00B33019"/>
    <w:rsid w:val="00B3307D"/>
    <w:rsid w:val="00B3359F"/>
    <w:rsid w:val="00B335AA"/>
    <w:rsid w:val="00B3375E"/>
    <w:rsid w:val="00B33A84"/>
    <w:rsid w:val="00B33A8F"/>
    <w:rsid w:val="00B33BB6"/>
    <w:rsid w:val="00B33C6A"/>
    <w:rsid w:val="00B33DB0"/>
    <w:rsid w:val="00B33FD1"/>
    <w:rsid w:val="00B34233"/>
    <w:rsid w:val="00B342E3"/>
    <w:rsid w:val="00B344FF"/>
    <w:rsid w:val="00B3463E"/>
    <w:rsid w:val="00B347F9"/>
    <w:rsid w:val="00B3494E"/>
    <w:rsid w:val="00B34A97"/>
    <w:rsid w:val="00B34BAC"/>
    <w:rsid w:val="00B34BD7"/>
    <w:rsid w:val="00B34C0A"/>
    <w:rsid w:val="00B34CFF"/>
    <w:rsid w:val="00B34E99"/>
    <w:rsid w:val="00B3522C"/>
    <w:rsid w:val="00B3526D"/>
    <w:rsid w:val="00B35311"/>
    <w:rsid w:val="00B354C9"/>
    <w:rsid w:val="00B35543"/>
    <w:rsid w:val="00B35573"/>
    <w:rsid w:val="00B356D8"/>
    <w:rsid w:val="00B357F5"/>
    <w:rsid w:val="00B359D7"/>
    <w:rsid w:val="00B35DB8"/>
    <w:rsid w:val="00B35DE5"/>
    <w:rsid w:val="00B35E72"/>
    <w:rsid w:val="00B36334"/>
    <w:rsid w:val="00B36520"/>
    <w:rsid w:val="00B36670"/>
    <w:rsid w:val="00B3689A"/>
    <w:rsid w:val="00B3696F"/>
    <w:rsid w:val="00B36C15"/>
    <w:rsid w:val="00B36DAF"/>
    <w:rsid w:val="00B36E6F"/>
    <w:rsid w:val="00B36E81"/>
    <w:rsid w:val="00B373FA"/>
    <w:rsid w:val="00B37548"/>
    <w:rsid w:val="00B376E7"/>
    <w:rsid w:val="00B3798A"/>
    <w:rsid w:val="00B37AE1"/>
    <w:rsid w:val="00B37D05"/>
    <w:rsid w:val="00B37D80"/>
    <w:rsid w:val="00B37F74"/>
    <w:rsid w:val="00B400CE"/>
    <w:rsid w:val="00B4023F"/>
    <w:rsid w:val="00B402B5"/>
    <w:rsid w:val="00B403BD"/>
    <w:rsid w:val="00B40519"/>
    <w:rsid w:val="00B40796"/>
    <w:rsid w:val="00B40A4B"/>
    <w:rsid w:val="00B40D0B"/>
    <w:rsid w:val="00B411F6"/>
    <w:rsid w:val="00B413A1"/>
    <w:rsid w:val="00B414CC"/>
    <w:rsid w:val="00B416E6"/>
    <w:rsid w:val="00B41722"/>
    <w:rsid w:val="00B4179A"/>
    <w:rsid w:val="00B41893"/>
    <w:rsid w:val="00B418E6"/>
    <w:rsid w:val="00B41919"/>
    <w:rsid w:val="00B4198D"/>
    <w:rsid w:val="00B41AD8"/>
    <w:rsid w:val="00B41E60"/>
    <w:rsid w:val="00B42477"/>
    <w:rsid w:val="00B42676"/>
    <w:rsid w:val="00B4267A"/>
    <w:rsid w:val="00B427CE"/>
    <w:rsid w:val="00B42959"/>
    <w:rsid w:val="00B42DD2"/>
    <w:rsid w:val="00B4305F"/>
    <w:rsid w:val="00B43229"/>
    <w:rsid w:val="00B4326A"/>
    <w:rsid w:val="00B432BC"/>
    <w:rsid w:val="00B43481"/>
    <w:rsid w:val="00B43507"/>
    <w:rsid w:val="00B4353E"/>
    <w:rsid w:val="00B435A0"/>
    <w:rsid w:val="00B43680"/>
    <w:rsid w:val="00B437A2"/>
    <w:rsid w:val="00B437A5"/>
    <w:rsid w:val="00B43812"/>
    <w:rsid w:val="00B43847"/>
    <w:rsid w:val="00B43BC8"/>
    <w:rsid w:val="00B43C89"/>
    <w:rsid w:val="00B43CC9"/>
    <w:rsid w:val="00B43E2B"/>
    <w:rsid w:val="00B43E56"/>
    <w:rsid w:val="00B44081"/>
    <w:rsid w:val="00B440F6"/>
    <w:rsid w:val="00B44628"/>
    <w:rsid w:val="00B4470C"/>
    <w:rsid w:val="00B4493F"/>
    <w:rsid w:val="00B44A20"/>
    <w:rsid w:val="00B44B7F"/>
    <w:rsid w:val="00B44D6B"/>
    <w:rsid w:val="00B44D8F"/>
    <w:rsid w:val="00B45102"/>
    <w:rsid w:val="00B451F8"/>
    <w:rsid w:val="00B45461"/>
    <w:rsid w:val="00B4571E"/>
    <w:rsid w:val="00B4597F"/>
    <w:rsid w:val="00B45B46"/>
    <w:rsid w:val="00B45E40"/>
    <w:rsid w:val="00B45FE5"/>
    <w:rsid w:val="00B460E2"/>
    <w:rsid w:val="00B46414"/>
    <w:rsid w:val="00B46947"/>
    <w:rsid w:val="00B46A59"/>
    <w:rsid w:val="00B46FCD"/>
    <w:rsid w:val="00B4709E"/>
    <w:rsid w:val="00B472D2"/>
    <w:rsid w:val="00B47386"/>
    <w:rsid w:val="00B4760E"/>
    <w:rsid w:val="00B477EA"/>
    <w:rsid w:val="00B4789F"/>
    <w:rsid w:val="00B47B2C"/>
    <w:rsid w:val="00B47BAE"/>
    <w:rsid w:val="00B5020C"/>
    <w:rsid w:val="00B5036E"/>
    <w:rsid w:val="00B5095D"/>
    <w:rsid w:val="00B50DC3"/>
    <w:rsid w:val="00B510BF"/>
    <w:rsid w:val="00B51393"/>
    <w:rsid w:val="00B5139C"/>
    <w:rsid w:val="00B515F6"/>
    <w:rsid w:val="00B51601"/>
    <w:rsid w:val="00B51880"/>
    <w:rsid w:val="00B5193B"/>
    <w:rsid w:val="00B51A56"/>
    <w:rsid w:val="00B51BBC"/>
    <w:rsid w:val="00B51BE7"/>
    <w:rsid w:val="00B51C46"/>
    <w:rsid w:val="00B51D55"/>
    <w:rsid w:val="00B51E6E"/>
    <w:rsid w:val="00B51E7A"/>
    <w:rsid w:val="00B521AD"/>
    <w:rsid w:val="00B523C6"/>
    <w:rsid w:val="00B52406"/>
    <w:rsid w:val="00B52430"/>
    <w:rsid w:val="00B52473"/>
    <w:rsid w:val="00B52CCF"/>
    <w:rsid w:val="00B53020"/>
    <w:rsid w:val="00B538C8"/>
    <w:rsid w:val="00B539C1"/>
    <w:rsid w:val="00B53BAB"/>
    <w:rsid w:val="00B53BC5"/>
    <w:rsid w:val="00B53CDB"/>
    <w:rsid w:val="00B54199"/>
    <w:rsid w:val="00B54532"/>
    <w:rsid w:val="00B5469C"/>
    <w:rsid w:val="00B5473E"/>
    <w:rsid w:val="00B547CE"/>
    <w:rsid w:val="00B54925"/>
    <w:rsid w:val="00B54984"/>
    <w:rsid w:val="00B54A0D"/>
    <w:rsid w:val="00B54AD1"/>
    <w:rsid w:val="00B54AF5"/>
    <w:rsid w:val="00B54B67"/>
    <w:rsid w:val="00B55039"/>
    <w:rsid w:val="00B550B7"/>
    <w:rsid w:val="00B552DB"/>
    <w:rsid w:val="00B555C5"/>
    <w:rsid w:val="00B55945"/>
    <w:rsid w:val="00B559D9"/>
    <w:rsid w:val="00B55B61"/>
    <w:rsid w:val="00B55B7F"/>
    <w:rsid w:val="00B55CBC"/>
    <w:rsid w:val="00B55DDA"/>
    <w:rsid w:val="00B55E31"/>
    <w:rsid w:val="00B565F6"/>
    <w:rsid w:val="00B567B7"/>
    <w:rsid w:val="00B56AF4"/>
    <w:rsid w:val="00B56C62"/>
    <w:rsid w:val="00B56D5D"/>
    <w:rsid w:val="00B56F6C"/>
    <w:rsid w:val="00B570D9"/>
    <w:rsid w:val="00B572BB"/>
    <w:rsid w:val="00B573DE"/>
    <w:rsid w:val="00B573F1"/>
    <w:rsid w:val="00B5749A"/>
    <w:rsid w:val="00B574EE"/>
    <w:rsid w:val="00B57674"/>
    <w:rsid w:val="00B576CC"/>
    <w:rsid w:val="00B578C7"/>
    <w:rsid w:val="00B57A70"/>
    <w:rsid w:val="00B600EA"/>
    <w:rsid w:val="00B601BF"/>
    <w:rsid w:val="00B602B7"/>
    <w:rsid w:val="00B603C0"/>
    <w:rsid w:val="00B604AA"/>
    <w:rsid w:val="00B60592"/>
    <w:rsid w:val="00B607FA"/>
    <w:rsid w:val="00B60814"/>
    <w:rsid w:val="00B60A1D"/>
    <w:rsid w:val="00B60D6F"/>
    <w:rsid w:val="00B61231"/>
    <w:rsid w:val="00B6124B"/>
    <w:rsid w:val="00B61462"/>
    <w:rsid w:val="00B61587"/>
    <w:rsid w:val="00B61A89"/>
    <w:rsid w:val="00B62054"/>
    <w:rsid w:val="00B62142"/>
    <w:rsid w:val="00B623C9"/>
    <w:rsid w:val="00B62985"/>
    <w:rsid w:val="00B62A4D"/>
    <w:rsid w:val="00B62AE6"/>
    <w:rsid w:val="00B63023"/>
    <w:rsid w:val="00B630BB"/>
    <w:rsid w:val="00B6329E"/>
    <w:rsid w:val="00B633DE"/>
    <w:rsid w:val="00B633EB"/>
    <w:rsid w:val="00B636B8"/>
    <w:rsid w:val="00B639D9"/>
    <w:rsid w:val="00B639DB"/>
    <w:rsid w:val="00B63B98"/>
    <w:rsid w:val="00B63E00"/>
    <w:rsid w:val="00B64406"/>
    <w:rsid w:val="00B644C4"/>
    <w:rsid w:val="00B64505"/>
    <w:rsid w:val="00B64748"/>
    <w:rsid w:val="00B648A1"/>
    <w:rsid w:val="00B648F6"/>
    <w:rsid w:val="00B64AAC"/>
    <w:rsid w:val="00B64BF4"/>
    <w:rsid w:val="00B64C16"/>
    <w:rsid w:val="00B64CC7"/>
    <w:rsid w:val="00B65312"/>
    <w:rsid w:val="00B6537F"/>
    <w:rsid w:val="00B653F8"/>
    <w:rsid w:val="00B65454"/>
    <w:rsid w:val="00B6545E"/>
    <w:rsid w:val="00B654B4"/>
    <w:rsid w:val="00B654BA"/>
    <w:rsid w:val="00B65819"/>
    <w:rsid w:val="00B65876"/>
    <w:rsid w:val="00B65E65"/>
    <w:rsid w:val="00B660C5"/>
    <w:rsid w:val="00B660D9"/>
    <w:rsid w:val="00B66661"/>
    <w:rsid w:val="00B66756"/>
    <w:rsid w:val="00B66919"/>
    <w:rsid w:val="00B669A8"/>
    <w:rsid w:val="00B66D1A"/>
    <w:rsid w:val="00B66FA9"/>
    <w:rsid w:val="00B67010"/>
    <w:rsid w:val="00B671FE"/>
    <w:rsid w:val="00B6747B"/>
    <w:rsid w:val="00B6758A"/>
    <w:rsid w:val="00B67679"/>
    <w:rsid w:val="00B67823"/>
    <w:rsid w:val="00B67A5A"/>
    <w:rsid w:val="00B67B76"/>
    <w:rsid w:val="00B67C8E"/>
    <w:rsid w:val="00B67CC1"/>
    <w:rsid w:val="00B67DEE"/>
    <w:rsid w:val="00B67ED8"/>
    <w:rsid w:val="00B67F13"/>
    <w:rsid w:val="00B67FD4"/>
    <w:rsid w:val="00B67FEF"/>
    <w:rsid w:val="00B7037A"/>
    <w:rsid w:val="00B703A1"/>
    <w:rsid w:val="00B70547"/>
    <w:rsid w:val="00B70986"/>
    <w:rsid w:val="00B709FD"/>
    <w:rsid w:val="00B70B80"/>
    <w:rsid w:val="00B70C5F"/>
    <w:rsid w:val="00B70DA3"/>
    <w:rsid w:val="00B70EC8"/>
    <w:rsid w:val="00B70FC4"/>
    <w:rsid w:val="00B70FD0"/>
    <w:rsid w:val="00B710EC"/>
    <w:rsid w:val="00B7126C"/>
    <w:rsid w:val="00B7127D"/>
    <w:rsid w:val="00B7140C"/>
    <w:rsid w:val="00B71463"/>
    <w:rsid w:val="00B7153B"/>
    <w:rsid w:val="00B716E4"/>
    <w:rsid w:val="00B717AC"/>
    <w:rsid w:val="00B719FB"/>
    <w:rsid w:val="00B71A27"/>
    <w:rsid w:val="00B71BD9"/>
    <w:rsid w:val="00B71CBB"/>
    <w:rsid w:val="00B71D60"/>
    <w:rsid w:val="00B72724"/>
    <w:rsid w:val="00B727B5"/>
    <w:rsid w:val="00B72B41"/>
    <w:rsid w:val="00B72E28"/>
    <w:rsid w:val="00B73022"/>
    <w:rsid w:val="00B7317E"/>
    <w:rsid w:val="00B73447"/>
    <w:rsid w:val="00B73527"/>
    <w:rsid w:val="00B736EE"/>
    <w:rsid w:val="00B7378F"/>
    <w:rsid w:val="00B73822"/>
    <w:rsid w:val="00B738BB"/>
    <w:rsid w:val="00B73A00"/>
    <w:rsid w:val="00B73A9F"/>
    <w:rsid w:val="00B73B7D"/>
    <w:rsid w:val="00B73C1B"/>
    <w:rsid w:val="00B73C32"/>
    <w:rsid w:val="00B73C8E"/>
    <w:rsid w:val="00B73F83"/>
    <w:rsid w:val="00B740CC"/>
    <w:rsid w:val="00B740E9"/>
    <w:rsid w:val="00B74116"/>
    <w:rsid w:val="00B7445B"/>
    <w:rsid w:val="00B746F1"/>
    <w:rsid w:val="00B74780"/>
    <w:rsid w:val="00B74844"/>
    <w:rsid w:val="00B749C7"/>
    <w:rsid w:val="00B74CD9"/>
    <w:rsid w:val="00B74FCE"/>
    <w:rsid w:val="00B754D4"/>
    <w:rsid w:val="00B75698"/>
    <w:rsid w:val="00B757CB"/>
    <w:rsid w:val="00B75850"/>
    <w:rsid w:val="00B75979"/>
    <w:rsid w:val="00B75ACF"/>
    <w:rsid w:val="00B75B09"/>
    <w:rsid w:val="00B75B23"/>
    <w:rsid w:val="00B75C54"/>
    <w:rsid w:val="00B75D63"/>
    <w:rsid w:val="00B75F6D"/>
    <w:rsid w:val="00B761AE"/>
    <w:rsid w:val="00B76513"/>
    <w:rsid w:val="00B76663"/>
    <w:rsid w:val="00B7677E"/>
    <w:rsid w:val="00B769E4"/>
    <w:rsid w:val="00B76A93"/>
    <w:rsid w:val="00B76BE4"/>
    <w:rsid w:val="00B76E41"/>
    <w:rsid w:val="00B76E69"/>
    <w:rsid w:val="00B76E86"/>
    <w:rsid w:val="00B76F39"/>
    <w:rsid w:val="00B77181"/>
    <w:rsid w:val="00B77225"/>
    <w:rsid w:val="00B772FD"/>
    <w:rsid w:val="00B774FB"/>
    <w:rsid w:val="00B7771C"/>
    <w:rsid w:val="00B77956"/>
    <w:rsid w:val="00B77B9F"/>
    <w:rsid w:val="00B77E8A"/>
    <w:rsid w:val="00B77EFB"/>
    <w:rsid w:val="00B77FF4"/>
    <w:rsid w:val="00B80071"/>
    <w:rsid w:val="00B8012B"/>
    <w:rsid w:val="00B80240"/>
    <w:rsid w:val="00B80323"/>
    <w:rsid w:val="00B8033E"/>
    <w:rsid w:val="00B80448"/>
    <w:rsid w:val="00B80696"/>
    <w:rsid w:val="00B807F3"/>
    <w:rsid w:val="00B80A1C"/>
    <w:rsid w:val="00B80EC3"/>
    <w:rsid w:val="00B8171A"/>
    <w:rsid w:val="00B81724"/>
    <w:rsid w:val="00B81803"/>
    <w:rsid w:val="00B81892"/>
    <w:rsid w:val="00B81D13"/>
    <w:rsid w:val="00B81EA6"/>
    <w:rsid w:val="00B824B9"/>
    <w:rsid w:val="00B8256C"/>
    <w:rsid w:val="00B82609"/>
    <w:rsid w:val="00B827BB"/>
    <w:rsid w:val="00B82B86"/>
    <w:rsid w:val="00B82DB8"/>
    <w:rsid w:val="00B82EC6"/>
    <w:rsid w:val="00B830A4"/>
    <w:rsid w:val="00B830DE"/>
    <w:rsid w:val="00B834AD"/>
    <w:rsid w:val="00B835B5"/>
    <w:rsid w:val="00B8370C"/>
    <w:rsid w:val="00B837CA"/>
    <w:rsid w:val="00B838BC"/>
    <w:rsid w:val="00B838E9"/>
    <w:rsid w:val="00B83AAA"/>
    <w:rsid w:val="00B83B85"/>
    <w:rsid w:val="00B83F27"/>
    <w:rsid w:val="00B84026"/>
    <w:rsid w:val="00B840A6"/>
    <w:rsid w:val="00B8414C"/>
    <w:rsid w:val="00B84153"/>
    <w:rsid w:val="00B8429C"/>
    <w:rsid w:val="00B842A7"/>
    <w:rsid w:val="00B842D9"/>
    <w:rsid w:val="00B8461F"/>
    <w:rsid w:val="00B84915"/>
    <w:rsid w:val="00B84B9D"/>
    <w:rsid w:val="00B84DE9"/>
    <w:rsid w:val="00B84EF8"/>
    <w:rsid w:val="00B84F32"/>
    <w:rsid w:val="00B84F47"/>
    <w:rsid w:val="00B8532B"/>
    <w:rsid w:val="00B8559C"/>
    <w:rsid w:val="00B85621"/>
    <w:rsid w:val="00B856A3"/>
    <w:rsid w:val="00B856B8"/>
    <w:rsid w:val="00B85876"/>
    <w:rsid w:val="00B85BC9"/>
    <w:rsid w:val="00B85BCD"/>
    <w:rsid w:val="00B85BE0"/>
    <w:rsid w:val="00B85D99"/>
    <w:rsid w:val="00B8627B"/>
    <w:rsid w:val="00B86572"/>
    <w:rsid w:val="00B86698"/>
    <w:rsid w:val="00B866DF"/>
    <w:rsid w:val="00B86B8F"/>
    <w:rsid w:val="00B86D60"/>
    <w:rsid w:val="00B86D61"/>
    <w:rsid w:val="00B86E1D"/>
    <w:rsid w:val="00B8736D"/>
    <w:rsid w:val="00B87820"/>
    <w:rsid w:val="00B8782A"/>
    <w:rsid w:val="00B87B8C"/>
    <w:rsid w:val="00B87D8C"/>
    <w:rsid w:val="00B901C4"/>
    <w:rsid w:val="00B901D7"/>
    <w:rsid w:val="00B9020B"/>
    <w:rsid w:val="00B90251"/>
    <w:rsid w:val="00B90270"/>
    <w:rsid w:val="00B902E6"/>
    <w:rsid w:val="00B905BA"/>
    <w:rsid w:val="00B907AC"/>
    <w:rsid w:val="00B90862"/>
    <w:rsid w:val="00B90897"/>
    <w:rsid w:val="00B90B53"/>
    <w:rsid w:val="00B90CE9"/>
    <w:rsid w:val="00B90DC6"/>
    <w:rsid w:val="00B90E9C"/>
    <w:rsid w:val="00B91175"/>
    <w:rsid w:val="00B9143D"/>
    <w:rsid w:val="00B9152F"/>
    <w:rsid w:val="00B91561"/>
    <w:rsid w:val="00B91676"/>
    <w:rsid w:val="00B91A26"/>
    <w:rsid w:val="00B91A4B"/>
    <w:rsid w:val="00B91C50"/>
    <w:rsid w:val="00B91DEF"/>
    <w:rsid w:val="00B91EC9"/>
    <w:rsid w:val="00B923DC"/>
    <w:rsid w:val="00B9265A"/>
    <w:rsid w:val="00B9287F"/>
    <w:rsid w:val="00B92C94"/>
    <w:rsid w:val="00B930BA"/>
    <w:rsid w:val="00B93122"/>
    <w:rsid w:val="00B93327"/>
    <w:rsid w:val="00B93361"/>
    <w:rsid w:val="00B9348E"/>
    <w:rsid w:val="00B934FD"/>
    <w:rsid w:val="00B93DCF"/>
    <w:rsid w:val="00B93DFF"/>
    <w:rsid w:val="00B93E9E"/>
    <w:rsid w:val="00B94171"/>
    <w:rsid w:val="00B9435B"/>
    <w:rsid w:val="00B9443B"/>
    <w:rsid w:val="00B944DD"/>
    <w:rsid w:val="00B9450A"/>
    <w:rsid w:val="00B949A9"/>
    <w:rsid w:val="00B94A87"/>
    <w:rsid w:val="00B94AA6"/>
    <w:rsid w:val="00B94E15"/>
    <w:rsid w:val="00B94FAD"/>
    <w:rsid w:val="00B95055"/>
    <w:rsid w:val="00B950FC"/>
    <w:rsid w:val="00B9521A"/>
    <w:rsid w:val="00B953AC"/>
    <w:rsid w:val="00B953C6"/>
    <w:rsid w:val="00B954C5"/>
    <w:rsid w:val="00B95A2D"/>
    <w:rsid w:val="00B95CE1"/>
    <w:rsid w:val="00B95D4F"/>
    <w:rsid w:val="00B95F23"/>
    <w:rsid w:val="00B96137"/>
    <w:rsid w:val="00B9630F"/>
    <w:rsid w:val="00B969C5"/>
    <w:rsid w:val="00B969E8"/>
    <w:rsid w:val="00B974F6"/>
    <w:rsid w:val="00B97772"/>
    <w:rsid w:val="00B97CD3"/>
    <w:rsid w:val="00B97F50"/>
    <w:rsid w:val="00B97F8D"/>
    <w:rsid w:val="00BA0002"/>
    <w:rsid w:val="00BA0018"/>
    <w:rsid w:val="00BA0225"/>
    <w:rsid w:val="00BA0234"/>
    <w:rsid w:val="00BA03D4"/>
    <w:rsid w:val="00BA08CE"/>
    <w:rsid w:val="00BA098E"/>
    <w:rsid w:val="00BA09EB"/>
    <w:rsid w:val="00BA0A4F"/>
    <w:rsid w:val="00BA0D21"/>
    <w:rsid w:val="00BA0F47"/>
    <w:rsid w:val="00BA1300"/>
    <w:rsid w:val="00BA16FF"/>
    <w:rsid w:val="00BA1762"/>
    <w:rsid w:val="00BA1AE6"/>
    <w:rsid w:val="00BA1BA6"/>
    <w:rsid w:val="00BA1CA9"/>
    <w:rsid w:val="00BA222E"/>
    <w:rsid w:val="00BA256E"/>
    <w:rsid w:val="00BA25F4"/>
    <w:rsid w:val="00BA2733"/>
    <w:rsid w:val="00BA296C"/>
    <w:rsid w:val="00BA29AE"/>
    <w:rsid w:val="00BA2A72"/>
    <w:rsid w:val="00BA2A89"/>
    <w:rsid w:val="00BA2BF0"/>
    <w:rsid w:val="00BA3348"/>
    <w:rsid w:val="00BA3535"/>
    <w:rsid w:val="00BA3947"/>
    <w:rsid w:val="00BA39FE"/>
    <w:rsid w:val="00BA3C67"/>
    <w:rsid w:val="00BA3CA6"/>
    <w:rsid w:val="00BA3DEB"/>
    <w:rsid w:val="00BA40A8"/>
    <w:rsid w:val="00BA4271"/>
    <w:rsid w:val="00BA47B3"/>
    <w:rsid w:val="00BA48FF"/>
    <w:rsid w:val="00BA4AFB"/>
    <w:rsid w:val="00BA4B0B"/>
    <w:rsid w:val="00BA4EF7"/>
    <w:rsid w:val="00BA50A7"/>
    <w:rsid w:val="00BA5108"/>
    <w:rsid w:val="00BA5435"/>
    <w:rsid w:val="00BA5778"/>
    <w:rsid w:val="00BA59CC"/>
    <w:rsid w:val="00BA5C03"/>
    <w:rsid w:val="00BA5DF9"/>
    <w:rsid w:val="00BA5EA6"/>
    <w:rsid w:val="00BA6008"/>
    <w:rsid w:val="00BA618F"/>
    <w:rsid w:val="00BA642E"/>
    <w:rsid w:val="00BA6669"/>
    <w:rsid w:val="00BA6A08"/>
    <w:rsid w:val="00BA6B8A"/>
    <w:rsid w:val="00BA6C1C"/>
    <w:rsid w:val="00BA6C9A"/>
    <w:rsid w:val="00BA6D08"/>
    <w:rsid w:val="00BA6E3E"/>
    <w:rsid w:val="00BA6EA1"/>
    <w:rsid w:val="00BA6EC3"/>
    <w:rsid w:val="00BA6F12"/>
    <w:rsid w:val="00BA70D7"/>
    <w:rsid w:val="00BA72FF"/>
    <w:rsid w:val="00BA7324"/>
    <w:rsid w:val="00BA7414"/>
    <w:rsid w:val="00BA775B"/>
    <w:rsid w:val="00BA79F0"/>
    <w:rsid w:val="00BA7A8B"/>
    <w:rsid w:val="00BA7B6C"/>
    <w:rsid w:val="00BA7BAB"/>
    <w:rsid w:val="00BA7C66"/>
    <w:rsid w:val="00BA7E00"/>
    <w:rsid w:val="00BA7EE8"/>
    <w:rsid w:val="00BB056E"/>
    <w:rsid w:val="00BB07FE"/>
    <w:rsid w:val="00BB0865"/>
    <w:rsid w:val="00BB0A5E"/>
    <w:rsid w:val="00BB0AA2"/>
    <w:rsid w:val="00BB0AE1"/>
    <w:rsid w:val="00BB0C0C"/>
    <w:rsid w:val="00BB0C5B"/>
    <w:rsid w:val="00BB0CFA"/>
    <w:rsid w:val="00BB0D54"/>
    <w:rsid w:val="00BB12AC"/>
    <w:rsid w:val="00BB1387"/>
    <w:rsid w:val="00BB15FA"/>
    <w:rsid w:val="00BB1A24"/>
    <w:rsid w:val="00BB2029"/>
    <w:rsid w:val="00BB2078"/>
    <w:rsid w:val="00BB216B"/>
    <w:rsid w:val="00BB21B4"/>
    <w:rsid w:val="00BB2245"/>
    <w:rsid w:val="00BB2459"/>
    <w:rsid w:val="00BB24F1"/>
    <w:rsid w:val="00BB24FE"/>
    <w:rsid w:val="00BB2781"/>
    <w:rsid w:val="00BB281E"/>
    <w:rsid w:val="00BB2846"/>
    <w:rsid w:val="00BB2895"/>
    <w:rsid w:val="00BB28C5"/>
    <w:rsid w:val="00BB28EE"/>
    <w:rsid w:val="00BB2936"/>
    <w:rsid w:val="00BB2CE0"/>
    <w:rsid w:val="00BB2E7B"/>
    <w:rsid w:val="00BB304F"/>
    <w:rsid w:val="00BB3247"/>
    <w:rsid w:val="00BB328F"/>
    <w:rsid w:val="00BB346A"/>
    <w:rsid w:val="00BB35D1"/>
    <w:rsid w:val="00BB3616"/>
    <w:rsid w:val="00BB3732"/>
    <w:rsid w:val="00BB3992"/>
    <w:rsid w:val="00BB399B"/>
    <w:rsid w:val="00BB3A64"/>
    <w:rsid w:val="00BB3B2C"/>
    <w:rsid w:val="00BB3CF6"/>
    <w:rsid w:val="00BB3EC5"/>
    <w:rsid w:val="00BB4189"/>
    <w:rsid w:val="00BB41B1"/>
    <w:rsid w:val="00BB4325"/>
    <w:rsid w:val="00BB44F3"/>
    <w:rsid w:val="00BB45DB"/>
    <w:rsid w:val="00BB47DC"/>
    <w:rsid w:val="00BB4802"/>
    <w:rsid w:val="00BB4C86"/>
    <w:rsid w:val="00BB5370"/>
    <w:rsid w:val="00BB5753"/>
    <w:rsid w:val="00BB5950"/>
    <w:rsid w:val="00BB5A5A"/>
    <w:rsid w:val="00BB5B70"/>
    <w:rsid w:val="00BB60DC"/>
    <w:rsid w:val="00BB695B"/>
    <w:rsid w:val="00BB69CF"/>
    <w:rsid w:val="00BB6A23"/>
    <w:rsid w:val="00BB6B06"/>
    <w:rsid w:val="00BB6B23"/>
    <w:rsid w:val="00BB6BF2"/>
    <w:rsid w:val="00BB70D4"/>
    <w:rsid w:val="00BB72E1"/>
    <w:rsid w:val="00BB7356"/>
    <w:rsid w:val="00BB79BB"/>
    <w:rsid w:val="00BB7B64"/>
    <w:rsid w:val="00BB7BC3"/>
    <w:rsid w:val="00BB7D75"/>
    <w:rsid w:val="00BB7DB7"/>
    <w:rsid w:val="00BC031D"/>
    <w:rsid w:val="00BC05AA"/>
    <w:rsid w:val="00BC05B6"/>
    <w:rsid w:val="00BC078E"/>
    <w:rsid w:val="00BC07ED"/>
    <w:rsid w:val="00BC0B8E"/>
    <w:rsid w:val="00BC1103"/>
    <w:rsid w:val="00BC1337"/>
    <w:rsid w:val="00BC13F2"/>
    <w:rsid w:val="00BC1448"/>
    <w:rsid w:val="00BC1650"/>
    <w:rsid w:val="00BC1730"/>
    <w:rsid w:val="00BC175E"/>
    <w:rsid w:val="00BC17D5"/>
    <w:rsid w:val="00BC1804"/>
    <w:rsid w:val="00BC1998"/>
    <w:rsid w:val="00BC1D15"/>
    <w:rsid w:val="00BC1D6F"/>
    <w:rsid w:val="00BC1DB7"/>
    <w:rsid w:val="00BC1E98"/>
    <w:rsid w:val="00BC1E9A"/>
    <w:rsid w:val="00BC1F63"/>
    <w:rsid w:val="00BC27FD"/>
    <w:rsid w:val="00BC2A54"/>
    <w:rsid w:val="00BC2D59"/>
    <w:rsid w:val="00BC2D5F"/>
    <w:rsid w:val="00BC2DCC"/>
    <w:rsid w:val="00BC2F7B"/>
    <w:rsid w:val="00BC331D"/>
    <w:rsid w:val="00BC3351"/>
    <w:rsid w:val="00BC3520"/>
    <w:rsid w:val="00BC3657"/>
    <w:rsid w:val="00BC3813"/>
    <w:rsid w:val="00BC388E"/>
    <w:rsid w:val="00BC39C5"/>
    <w:rsid w:val="00BC3E89"/>
    <w:rsid w:val="00BC411B"/>
    <w:rsid w:val="00BC42C1"/>
    <w:rsid w:val="00BC4343"/>
    <w:rsid w:val="00BC4741"/>
    <w:rsid w:val="00BC4863"/>
    <w:rsid w:val="00BC48D3"/>
    <w:rsid w:val="00BC49CB"/>
    <w:rsid w:val="00BC4A31"/>
    <w:rsid w:val="00BC4CFF"/>
    <w:rsid w:val="00BC4EE3"/>
    <w:rsid w:val="00BC50FE"/>
    <w:rsid w:val="00BC55CB"/>
    <w:rsid w:val="00BC561D"/>
    <w:rsid w:val="00BC5B1D"/>
    <w:rsid w:val="00BC5E2A"/>
    <w:rsid w:val="00BC5E78"/>
    <w:rsid w:val="00BC5EE1"/>
    <w:rsid w:val="00BC5FA3"/>
    <w:rsid w:val="00BC606A"/>
    <w:rsid w:val="00BC6156"/>
    <w:rsid w:val="00BC6299"/>
    <w:rsid w:val="00BC6487"/>
    <w:rsid w:val="00BC65C0"/>
    <w:rsid w:val="00BC6956"/>
    <w:rsid w:val="00BC69A0"/>
    <w:rsid w:val="00BC69D6"/>
    <w:rsid w:val="00BC69FA"/>
    <w:rsid w:val="00BC6B22"/>
    <w:rsid w:val="00BC6DD2"/>
    <w:rsid w:val="00BC6F0B"/>
    <w:rsid w:val="00BC739B"/>
    <w:rsid w:val="00BC73A3"/>
    <w:rsid w:val="00BC73E5"/>
    <w:rsid w:val="00BC7515"/>
    <w:rsid w:val="00BC754D"/>
    <w:rsid w:val="00BC786C"/>
    <w:rsid w:val="00BC787D"/>
    <w:rsid w:val="00BC791C"/>
    <w:rsid w:val="00BC7A7B"/>
    <w:rsid w:val="00BC7DE6"/>
    <w:rsid w:val="00BC7F94"/>
    <w:rsid w:val="00BD029C"/>
    <w:rsid w:val="00BD02C8"/>
    <w:rsid w:val="00BD03A9"/>
    <w:rsid w:val="00BD0550"/>
    <w:rsid w:val="00BD0663"/>
    <w:rsid w:val="00BD06B7"/>
    <w:rsid w:val="00BD06B8"/>
    <w:rsid w:val="00BD06D1"/>
    <w:rsid w:val="00BD06FA"/>
    <w:rsid w:val="00BD07DE"/>
    <w:rsid w:val="00BD08D0"/>
    <w:rsid w:val="00BD09E9"/>
    <w:rsid w:val="00BD0B08"/>
    <w:rsid w:val="00BD0BC1"/>
    <w:rsid w:val="00BD0F5E"/>
    <w:rsid w:val="00BD106A"/>
    <w:rsid w:val="00BD10EB"/>
    <w:rsid w:val="00BD144A"/>
    <w:rsid w:val="00BD183E"/>
    <w:rsid w:val="00BD1B29"/>
    <w:rsid w:val="00BD1B71"/>
    <w:rsid w:val="00BD1D79"/>
    <w:rsid w:val="00BD1E85"/>
    <w:rsid w:val="00BD1EB1"/>
    <w:rsid w:val="00BD2086"/>
    <w:rsid w:val="00BD209F"/>
    <w:rsid w:val="00BD241B"/>
    <w:rsid w:val="00BD25F3"/>
    <w:rsid w:val="00BD29C2"/>
    <w:rsid w:val="00BD2D16"/>
    <w:rsid w:val="00BD2E4F"/>
    <w:rsid w:val="00BD2F3A"/>
    <w:rsid w:val="00BD2F5E"/>
    <w:rsid w:val="00BD3074"/>
    <w:rsid w:val="00BD3261"/>
    <w:rsid w:val="00BD33B2"/>
    <w:rsid w:val="00BD4210"/>
    <w:rsid w:val="00BD4AA3"/>
    <w:rsid w:val="00BD4ABE"/>
    <w:rsid w:val="00BD4B3E"/>
    <w:rsid w:val="00BD4F5F"/>
    <w:rsid w:val="00BD4FB6"/>
    <w:rsid w:val="00BD50F5"/>
    <w:rsid w:val="00BD514D"/>
    <w:rsid w:val="00BD5166"/>
    <w:rsid w:val="00BD527D"/>
    <w:rsid w:val="00BD5430"/>
    <w:rsid w:val="00BD5573"/>
    <w:rsid w:val="00BD561E"/>
    <w:rsid w:val="00BD57BC"/>
    <w:rsid w:val="00BD58E7"/>
    <w:rsid w:val="00BD5904"/>
    <w:rsid w:val="00BD5938"/>
    <w:rsid w:val="00BD5A41"/>
    <w:rsid w:val="00BD5C49"/>
    <w:rsid w:val="00BD5F04"/>
    <w:rsid w:val="00BD611A"/>
    <w:rsid w:val="00BD616A"/>
    <w:rsid w:val="00BD6180"/>
    <w:rsid w:val="00BD6272"/>
    <w:rsid w:val="00BD6859"/>
    <w:rsid w:val="00BD6AB4"/>
    <w:rsid w:val="00BD6C05"/>
    <w:rsid w:val="00BD7012"/>
    <w:rsid w:val="00BD7470"/>
    <w:rsid w:val="00BD74CF"/>
    <w:rsid w:val="00BD7539"/>
    <w:rsid w:val="00BD75F2"/>
    <w:rsid w:val="00BD7827"/>
    <w:rsid w:val="00BD797D"/>
    <w:rsid w:val="00BD79FF"/>
    <w:rsid w:val="00BD7B3E"/>
    <w:rsid w:val="00BD7BDF"/>
    <w:rsid w:val="00BD7CEF"/>
    <w:rsid w:val="00BD7D33"/>
    <w:rsid w:val="00BD7D5E"/>
    <w:rsid w:val="00BD7D94"/>
    <w:rsid w:val="00BD7DF6"/>
    <w:rsid w:val="00BD7EE4"/>
    <w:rsid w:val="00BD7FB7"/>
    <w:rsid w:val="00BE00D5"/>
    <w:rsid w:val="00BE028B"/>
    <w:rsid w:val="00BE042B"/>
    <w:rsid w:val="00BE06C8"/>
    <w:rsid w:val="00BE0729"/>
    <w:rsid w:val="00BE085E"/>
    <w:rsid w:val="00BE0A28"/>
    <w:rsid w:val="00BE0C57"/>
    <w:rsid w:val="00BE0CCF"/>
    <w:rsid w:val="00BE0CFD"/>
    <w:rsid w:val="00BE0DBB"/>
    <w:rsid w:val="00BE0E21"/>
    <w:rsid w:val="00BE0EB9"/>
    <w:rsid w:val="00BE0EBD"/>
    <w:rsid w:val="00BE0F00"/>
    <w:rsid w:val="00BE104F"/>
    <w:rsid w:val="00BE106B"/>
    <w:rsid w:val="00BE1275"/>
    <w:rsid w:val="00BE1322"/>
    <w:rsid w:val="00BE1326"/>
    <w:rsid w:val="00BE15B2"/>
    <w:rsid w:val="00BE15D8"/>
    <w:rsid w:val="00BE1A7D"/>
    <w:rsid w:val="00BE1AA5"/>
    <w:rsid w:val="00BE1B43"/>
    <w:rsid w:val="00BE1D52"/>
    <w:rsid w:val="00BE1FD0"/>
    <w:rsid w:val="00BE1FEA"/>
    <w:rsid w:val="00BE2359"/>
    <w:rsid w:val="00BE23C4"/>
    <w:rsid w:val="00BE23F1"/>
    <w:rsid w:val="00BE25A3"/>
    <w:rsid w:val="00BE25B8"/>
    <w:rsid w:val="00BE263B"/>
    <w:rsid w:val="00BE26E9"/>
    <w:rsid w:val="00BE282A"/>
    <w:rsid w:val="00BE2B33"/>
    <w:rsid w:val="00BE2BBE"/>
    <w:rsid w:val="00BE2FB0"/>
    <w:rsid w:val="00BE3053"/>
    <w:rsid w:val="00BE334E"/>
    <w:rsid w:val="00BE33EC"/>
    <w:rsid w:val="00BE3797"/>
    <w:rsid w:val="00BE39C7"/>
    <w:rsid w:val="00BE3A9D"/>
    <w:rsid w:val="00BE3C4A"/>
    <w:rsid w:val="00BE3D21"/>
    <w:rsid w:val="00BE3F3C"/>
    <w:rsid w:val="00BE4575"/>
    <w:rsid w:val="00BE480B"/>
    <w:rsid w:val="00BE49D9"/>
    <w:rsid w:val="00BE4ADE"/>
    <w:rsid w:val="00BE4BE8"/>
    <w:rsid w:val="00BE4E0A"/>
    <w:rsid w:val="00BE4F6B"/>
    <w:rsid w:val="00BE509A"/>
    <w:rsid w:val="00BE50AF"/>
    <w:rsid w:val="00BE50F6"/>
    <w:rsid w:val="00BE5199"/>
    <w:rsid w:val="00BE5301"/>
    <w:rsid w:val="00BE549B"/>
    <w:rsid w:val="00BE54B4"/>
    <w:rsid w:val="00BE5528"/>
    <w:rsid w:val="00BE55D2"/>
    <w:rsid w:val="00BE56B3"/>
    <w:rsid w:val="00BE56DB"/>
    <w:rsid w:val="00BE5747"/>
    <w:rsid w:val="00BE5763"/>
    <w:rsid w:val="00BE57C8"/>
    <w:rsid w:val="00BE593D"/>
    <w:rsid w:val="00BE5A9B"/>
    <w:rsid w:val="00BE5B03"/>
    <w:rsid w:val="00BE5DA5"/>
    <w:rsid w:val="00BE5F7C"/>
    <w:rsid w:val="00BE5FCF"/>
    <w:rsid w:val="00BE60B2"/>
    <w:rsid w:val="00BE64BF"/>
    <w:rsid w:val="00BE65CA"/>
    <w:rsid w:val="00BE6E70"/>
    <w:rsid w:val="00BE6EC0"/>
    <w:rsid w:val="00BE70E4"/>
    <w:rsid w:val="00BE7106"/>
    <w:rsid w:val="00BE7114"/>
    <w:rsid w:val="00BE71AD"/>
    <w:rsid w:val="00BE7467"/>
    <w:rsid w:val="00BE769A"/>
    <w:rsid w:val="00BE78A0"/>
    <w:rsid w:val="00BE78C0"/>
    <w:rsid w:val="00BE7AD5"/>
    <w:rsid w:val="00BE7CA0"/>
    <w:rsid w:val="00BE7DB6"/>
    <w:rsid w:val="00BF00BD"/>
    <w:rsid w:val="00BF0179"/>
    <w:rsid w:val="00BF03FB"/>
    <w:rsid w:val="00BF04EB"/>
    <w:rsid w:val="00BF0BB5"/>
    <w:rsid w:val="00BF0C73"/>
    <w:rsid w:val="00BF0D05"/>
    <w:rsid w:val="00BF0DA4"/>
    <w:rsid w:val="00BF0EA6"/>
    <w:rsid w:val="00BF0EE6"/>
    <w:rsid w:val="00BF1074"/>
    <w:rsid w:val="00BF10A2"/>
    <w:rsid w:val="00BF10E9"/>
    <w:rsid w:val="00BF1128"/>
    <w:rsid w:val="00BF14C0"/>
    <w:rsid w:val="00BF17D8"/>
    <w:rsid w:val="00BF1C4F"/>
    <w:rsid w:val="00BF1D55"/>
    <w:rsid w:val="00BF1FCE"/>
    <w:rsid w:val="00BF2015"/>
    <w:rsid w:val="00BF20E1"/>
    <w:rsid w:val="00BF21D0"/>
    <w:rsid w:val="00BF2398"/>
    <w:rsid w:val="00BF24E2"/>
    <w:rsid w:val="00BF2676"/>
    <w:rsid w:val="00BF2740"/>
    <w:rsid w:val="00BF2809"/>
    <w:rsid w:val="00BF296B"/>
    <w:rsid w:val="00BF2D8A"/>
    <w:rsid w:val="00BF2E9E"/>
    <w:rsid w:val="00BF30D3"/>
    <w:rsid w:val="00BF323C"/>
    <w:rsid w:val="00BF338C"/>
    <w:rsid w:val="00BF379B"/>
    <w:rsid w:val="00BF37F9"/>
    <w:rsid w:val="00BF38C7"/>
    <w:rsid w:val="00BF391D"/>
    <w:rsid w:val="00BF3E62"/>
    <w:rsid w:val="00BF3E8D"/>
    <w:rsid w:val="00BF41EE"/>
    <w:rsid w:val="00BF42B8"/>
    <w:rsid w:val="00BF4323"/>
    <w:rsid w:val="00BF434C"/>
    <w:rsid w:val="00BF435B"/>
    <w:rsid w:val="00BF44B8"/>
    <w:rsid w:val="00BF44DA"/>
    <w:rsid w:val="00BF45D6"/>
    <w:rsid w:val="00BF472A"/>
    <w:rsid w:val="00BF47B9"/>
    <w:rsid w:val="00BF47FB"/>
    <w:rsid w:val="00BF4AE2"/>
    <w:rsid w:val="00BF4C69"/>
    <w:rsid w:val="00BF4C8E"/>
    <w:rsid w:val="00BF502C"/>
    <w:rsid w:val="00BF52F4"/>
    <w:rsid w:val="00BF53AA"/>
    <w:rsid w:val="00BF569F"/>
    <w:rsid w:val="00BF5C81"/>
    <w:rsid w:val="00BF5C88"/>
    <w:rsid w:val="00BF5D03"/>
    <w:rsid w:val="00BF5E38"/>
    <w:rsid w:val="00BF6026"/>
    <w:rsid w:val="00BF6247"/>
    <w:rsid w:val="00BF64E1"/>
    <w:rsid w:val="00BF6B78"/>
    <w:rsid w:val="00BF7026"/>
    <w:rsid w:val="00BF703B"/>
    <w:rsid w:val="00BF7204"/>
    <w:rsid w:val="00BF7321"/>
    <w:rsid w:val="00BF7497"/>
    <w:rsid w:val="00BF7568"/>
    <w:rsid w:val="00BF76BC"/>
    <w:rsid w:val="00BF7757"/>
    <w:rsid w:val="00BF7863"/>
    <w:rsid w:val="00BF7C9A"/>
    <w:rsid w:val="00BF7FEF"/>
    <w:rsid w:val="00C0033E"/>
    <w:rsid w:val="00C00426"/>
    <w:rsid w:val="00C00490"/>
    <w:rsid w:val="00C004A6"/>
    <w:rsid w:val="00C00900"/>
    <w:rsid w:val="00C00993"/>
    <w:rsid w:val="00C009C3"/>
    <w:rsid w:val="00C009E1"/>
    <w:rsid w:val="00C00A35"/>
    <w:rsid w:val="00C00ADE"/>
    <w:rsid w:val="00C00B6C"/>
    <w:rsid w:val="00C00EC0"/>
    <w:rsid w:val="00C012BB"/>
    <w:rsid w:val="00C012C1"/>
    <w:rsid w:val="00C019BE"/>
    <w:rsid w:val="00C019C4"/>
    <w:rsid w:val="00C019EB"/>
    <w:rsid w:val="00C01C29"/>
    <w:rsid w:val="00C01F81"/>
    <w:rsid w:val="00C02222"/>
    <w:rsid w:val="00C02399"/>
    <w:rsid w:val="00C023D0"/>
    <w:rsid w:val="00C02400"/>
    <w:rsid w:val="00C02512"/>
    <w:rsid w:val="00C02733"/>
    <w:rsid w:val="00C02773"/>
    <w:rsid w:val="00C028C2"/>
    <w:rsid w:val="00C02925"/>
    <w:rsid w:val="00C02C37"/>
    <w:rsid w:val="00C02DE7"/>
    <w:rsid w:val="00C02E8D"/>
    <w:rsid w:val="00C02FF3"/>
    <w:rsid w:val="00C03254"/>
    <w:rsid w:val="00C0331F"/>
    <w:rsid w:val="00C03389"/>
    <w:rsid w:val="00C033FD"/>
    <w:rsid w:val="00C03460"/>
    <w:rsid w:val="00C03742"/>
    <w:rsid w:val="00C0392D"/>
    <w:rsid w:val="00C03A3B"/>
    <w:rsid w:val="00C03A3E"/>
    <w:rsid w:val="00C03A68"/>
    <w:rsid w:val="00C03B9D"/>
    <w:rsid w:val="00C03C0D"/>
    <w:rsid w:val="00C04140"/>
    <w:rsid w:val="00C04198"/>
    <w:rsid w:val="00C04235"/>
    <w:rsid w:val="00C04273"/>
    <w:rsid w:val="00C04471"/>
    <w:rsid w:val="00C0478A"/>
    <w:rsid w:val="00C049BF"/>
    <w:rsid w:val="00C04A38"/>
    <w:rsid w:val="00C04A3A"/>
    <w:rsid w:val="00C04CC7"/>
    <w:rsid w:val="00C04F6E"/>
    <w:rsid w:val="00C0515D"/>
    <w:rsid w:val="00C052CA"/>
    <w:rsid w:val="00C053DB"/>
    <w:rsid w:val="00C0556F"/>
    <w:rsid w:val="00C05836"/>
    <w:rsid w:val="00C058DF"/>
    <w:rsid w:val="00C05B7E"/>
    <w:rsid w:val="00C05D24"/>
    <w:rsid w:val="00C05EA3"/>
    <w:rsid w:val="00C05F85"/>
    <w:rsid w:val="00C05FB4"/>
    <w:rsid w:val="00C060E0"/>
    <w:rsid w:val="00C06270"/>
    <w:rsid w:val="00C063FD"/>
    <w:rsid w:val="00C06717"/>
    <w:rsid w:val="00C067F9"/>
    <w:rsid w:val="00C06A45"/>
    <w:rsid w:val="00C06B40"/>
    <w:rsid w:val="00C072E5"/>
    <w:rsid w:val="00C073A3"/>
    <w:rsid w:val="00C079C9"/>
    <w:rsid w:val="00C07B9A"/>
    <w:rsid w:val="00C07DAD"/>
    <w:rsid w:val="00C10094"/>
    <w:rsid w:val="00C1014B"/>
    <w:rsid w:val="00C10214"/>
    <w:rsid w:val="00C10226"/>
    <w:rsid w:val="00C1027A"/>
    <w:rsid w:val="00C1060C"/>
    <w:rsid w:val="00C10649"/>
    <w:rsid w:val="00C106C6"/>
    <w:rsid w:val="00C106D9"/>
    <w:rsid w:val="00C108EB"/>
    <w:rsid w:val="00C10DC6"/>
    <w:rsid w:val="00C11108"/>
    <w:rsid w:val="00C113D8"/>
    <w:rsid w:val="00C1192D"/>
    <w:rsid w:val="00C11A2E"/>
    <w:rsid w:val="00C11FD4"/>
    <w:rsid w:val="00C12023"/>
    <w:rsid w:val="00C12077"/>
    <w:rsid w:val="00C120B8"/>
    <w:rsid w:val="00C12235"/>
    <w:rsid w:val="00C12455"/>
    <w:rsid w:val="00C126F7"/>
    <w:rsid w:val="00C129A5"/>
    <w:rsid w:val="00C12D6F"/>
    <w:rsid w:val="00C12F14"/>
    <w:rsid w:val="00C12FA2"/>
    <w:rsid w:val="00C135BD"/>
    <w:rsid w:val="00C13651"/>
    <w:rsid w:val="00C13754"/>
    <w:rsid w:val="00C139BD"/>
    <w:rsid w:val="00C139E4"/>
    <w:rsid w:val="00C13A3D"/>
    <w:rsid w:val="00C13B6D"/>
    <w:rsid w:val="00C13EB6"/>
    <w:rsid w:val="00C13FA4"/>
    <w:rsid w:val="00C14083"/>
    <w:rsid w:val="00C14152"/>
    <w:rsid w:val="00C14330"/>
    <w:rsid w:val="00C143F8"/>
    <w:rsid w:val="00C14630"/>
    <w:rsid w:val="00C14725"/>
    <w:rsid w:val="00C147CE"/>
    <w:rsid w:val="00C14937"/>
    <w:rsid w:val="00C14A0B"/>
    <w:rsid w:val="00C14A9E"/>
    <w:rsid w:val="00C14AC8"/>
    <w:rsid w:val="00C14B1C"/>
    <w:rsid w:val="00C15141"/>
    <w:rsid w:val="00C1521E"/>
    <w:rsid w:val="00C153B4"/>
    <w:rsid w:val="00C15403"/>
    <w:rsid w:val="00C154B4"/>
    <w:rsid w:val="00C155D5"/>
    <w:rsid w:val="00C15704"/>
    <w:rsid w:val="00C15A49"/>
    <w:rsid w:val="00C15B80"/>
    <w:rsid w:val="00C15CA7"/>
    <w:rsid w:val="00C15D90"/>
    <w:rsid w:val="00C15E2B"/>
    <w:rsid w:val="00C15E2F"/>
    <w:rsid w:val="00C15EF1"/>
    <w:rsid w:val="00C1624A"/>
    <w:rsid w:val="00C1628B"/>
    <w:rsid w:val="00C162B5"/>
    <w:rsid w:val="00C1678D"/>
    <w:rsid w:val="00C16B6A"/>
    <w:rsid w:val="00C16E0A"/>
    <w:rsid w:val="00C16E0B"/>
    <w:rsid w:val="00C17127"/>
    <w:rsid w:val="00C17142"/>
    <w:rsid w:val="00C172E0"/>
    <w:rsid w:val="00C17AE5"/>
    <w:rsid w:val="00C17B18"/>
    <w:rsid w:val="00C17BB8"/>
    <w:rsid w:val="00C17D43"/>
    <w:rsid w:val="00C17D57"/>
    <w:rsid w:val="00C20176"/>
    <w:rsid w:val="00C201DE"/>
    <w:rsid w:val="00C20295"/>
    <w:rsid w:val="00C202B1"/>
    <w:rsid w:val="00C202FB"/>
    <w:rsid w:val="00C20671"/>
    <w:rsid w:val="00C209F3"/>
    <w:rsid w:val="00C20B9A"/>
    <w:rsid w:val="00C20C74"/>
    <w:rsid w:val="00C20CA4"/>
    <w:rsid w:val="00C20F66"/>
    <w:rsid w:val="00C21122"/>
    <w:rsid w:val="00C2123A"/>
    <w:rsid w:val="00C21451"/>
    <w:rsid w:val="00C214B6"/>
    <w:rsid w:val="00C21514"/>
    <w:rsid w:val="00C218BA"/>
    <w:rsid w:val="00C218D4"/>
    <w:rsid w:val="00C219A0"/>
    <w:rsid w:val="00C21C45"/>
    <w:rsid w:val="00C21C49"/>
    <w:rsid w:val="00C21D19"/>
    <w:rsid w:val="00C21D9C"/>
    <w:rsid w:val="00C21E36"/>
    <w:rsid w:val="00C2208D"/>
    <w:rsid w:val="00C22272"/>
    <w:rsid w:val="00C223F4"/>
    <w:rsid w:val="00C224E2"/>
    <w:rsid w:val="00C22523"/>
    <w:rsid w:val="00C225A7"/>
    <w:rsid w:val="00C22AB0"/>
    <w:rsid w:val="00C22C9B"/>
    <w:rsid w:val="00C22DA1"/>
    <w:rsid w:val="00C22EA4"/>
    <w:rsid w:val="00C2306D"/>
    <w:rsid w:val="00C23116"/>
    <w:rsid w:val="00C23160"/>
    <w:rsid w:val="00C232B2"/>
    <w:rsid w:val="00C235EB"/>
    <w:rsid w:val="00C23840"/>
    <w:rsid w:val="00C23983"/>
    <w:rsid w:val="00C23BAE"/>
    <w:rsid w:val="00C242B9"/>
    <w:rsid w:val="00C24473"/>
    <w:rsid w:val="00C24505"/>
    <w:rsid w:val="00C24566"/>
    <w:rsid w:val="00C2456A"/>
    <w:rsid w:val="00C2463D"/>
    <w:rsid w:val="00C24664"/>
    <w:rsid w:val="00C24993"/>
    <w:rsid w:val="00C24A3E"/>
    <w:rsid w:val="00C24E05"/>
    <w:rsid w:val="00C250F6"/>
    <w:rsid w:val="00C25229"/>
    <w:rsid w:val="00C25381"/>
    <w:rsid w:val="00C25A3E"/>
    <w:rsid w:val="00C25C2A"/>
    <w:rsid w:val="00C25D25"/>
    <w:rsid w:val="00C25D44"/>
    <w:rsid w:val="00C261CB"/>
    <w:rsid w:val="00C26201"/>
    <w:rsid w:val="00C26203"/>
    <w:rsid w:val="00C262AC"/>
    <w:rsid w:val="00C263CD"/>
    <w:rsid w:val="00C263F6"/>
    <w:rsid w:val="00C266D4"/>
    <w:rsid w:val="00C26853"/>
    <w:rsid w:val="00C2697F"/>
    <w:rsid w:val="00C26A7E"/>
    <w:rsid w:val="00C26B10"/>
    <w:rsid w:val="00C26C2E"/>
    <w:rsid w:val="00C26D1D"/>
    <w:rsid w:val="00C26D40"/>
    <w:rsid w:val="00C26F79"/>
    <w:rsid w:val="00C26FBC"/>
    <w:rsid w:val="00C2711B"/>
    <w:rsid w:val="00C27211"/>
    <w:rsid w:val="00C2724C"/>
    <w:rsid w:val="00C27BAB"/>
    <w:rsid w:val="00C27BAF"/>
    <w:rsid w:val="00C27C66"/>
    <w:rsid w:val="00C27CB1"/>
    <w:rsid w:val="00C27D2E"/>
    <w:rsid w:val="00C30340"/>
    <w:rsid w:val="00C303DA"/>
    <w:rsid w:val="00C304C7"/>
    <w:rsid w:val="00C307AA"/>
    <w:rsid w:val="00C30875"/>
    <w:rsid w:val="00C30C3A"/>
    <w:rsid w:val="00C30E9A"/>
    <w:rsid w:val="00C31B23"/>
    <w:rsid w:val="00C31BEF"/>
    <w:rsid w:val="00C31C0B"/>
    <w:rsid w:val="00C31D76"/>
    <w:rsid w:val="00C32051"/>
    <w:rsid w:val="00C3212D"/>
    <w:rsid w:val="00C321D7"/>
    <w:rsid w:val="00C32286"/>
    <w:rsid w:val="00C32514"/>
    <w:rsid w:val="00C325B3"/>
    <w:rsid w:val="00C32792"/>
    <w:rsid w:val="00C327C6"/>
    <w:rsid w:val="00C32A43"/>
    <w:rsid w:val="00C32B68"/>
    <w:rsid w:val="00C32C9E"/>
    <w:rsid w:val="00C33035"/>
    <w:rsid w:val="00C33328"/>
    <w:rsid w:val="00C335BA"/>
    <w:rsid w:val="00C33882"/>
    <w:rsid w:val="00C338F0"/>
    <w:rsid w:val="00C33901"/>
    <w:rsid w:val="00C33944"/>
    <w:rsid w:val="00C33BF1"/>
    <w:rsid w:val="00C33D2E"/>
    <w:rsid w:val="00C33D94"/>
    <w:rsid w:val="00C33DB8"/>
    <w:rsid w:val="00C34181"/>
    <w:rsid w:val="00C341DC"/>
    <w:rsid w:val="00C34298"/>
    <w:rsid w:val="00C34415"/>
    <w:rsid w:val="00C3458D"/>
    <w:rsid w:val="00C34884"/>
    <w:rsid w:val="00C34954"/>
    <w:rsid w:val="00C34985"/>
    <w:rsid w:val="00C35552"/>
    <w:rsid w:val="00C35A75"/>
    <w:rsid w:val="00C35C1E"/>
    <w:rsid w:val="00C35CAE"/>
    <w:rsid w:val="00C35CFD"/>
    <w:rsid w:val="00C35D91"/>
    <w:rsid w:val="00C35E0D"/>
    <w:rsid w:val="00C35ECD"/>
    <w:rsid w:val="00C35F5B"/>
    <w:rsid w:val="00C35FF8"/>
    <w:rsid w:val="00C36306"/>
    <w:rsid w:val="00C3635A"/>
    <w:rsid w:val="00C36611"/>
    <w:rsid w:val="00C3692A"/>
    <w:rsid w:val="00C371E3"/>
    <w:rsid w:val="00C37528"/>
    <w:rsid w:val="00C37616"/>
    <w:rsid w:val="00C37618"/>
    <w:rsid w:val="00C37659"/>
    <w:rsid w:val="00C37888"/>
    <w:rsid w:val="00C378CA"/>
    <w:rsid w:val="00C37928"/>
    <w:rsid w:val="00C37ADC"/>
    <w:rsid w:val="00C37E9A"/>
    <w:rsid w:val="00C400CA"/>
    <w:rsid w:val="00C40212"/>
    <w:rsid w:val="00C4058C"/>
    <w:rsid w:val="00C406F9"/>
    <w:rsid w:val="00C408CA"/>
    <w:rsid w:val="00C40A6A"/>
    <w:rsid w:val="00C40C48"/>
    <w:rsid w:val="00C40CF7"/>
    <w:rsid w:val="00C410DF"/>
    <w:rsid w:val="00C41131"/>
    <w:rsid w:val="00C412B7"/>
    <w:rsid w:val="00C414E7"/>
    <w:rsid w:val="00C41512"/>
    <w:rsid w:val="00C416A1"/>
    <w:rsid w:val="00C417EE"/>
    <w:rsid w:val="00C41847"/>
    <w:rsid w:val="00C4185F"/>
    <w:rsid w:val="00C4187F"/>
    <w:rsid w:val="00C41A7C"/>
    <w:rsid w:val="00C41B33"/>
    <w:rsid w:val="00C41C82"/>
    <w:rsid w:val="00C41D9E"/>
    <w:rsid w:val="00C41EC8"/>
    <w:rsid w:val="00C41F30"/>
    <w:rsid w:val="00C41F6E"/>
    <w:rsid w:val="00C4215C"/>
    <w:rsid w:val="00C423AD"/>
    <w:rsid w:val="00C42525"/>
    <w:rsid w:val="00C428C5"/>
    <w:rsid w:val="00C428E1"/>
    <w:rsid w:val="00C42AFE"/>
    <w:rsid w:val="00C42C8F"/>
    <w:rsid w:val="00C42E69"/>
    <w:rsid w:val="00C4323D"/>
    <w:rsid w:val="00C43584"/>
    <w:rsid w:val="00C43769"/>
    <w:rsid w:val="00C43770"/>
    <w:rsid w:val="00C437FE"/>
    <w:rsid w:val="00C43A27"/>
    <w:rsid w:val="00C43A5D"/>
    <w:rsid w:val="00C43CC2"/>
    <w:rsid w:val="00C43D2E"/>
    <w:rsid w:val="00C43D72"/>
    <w:rsid w:val="00C43D7F"/>
    <w:rsid w:val="00C43D87"/>
    <w:rsid w:val="00C44535"/>
    <w:rsid w:val="00C44752"/>
    <w:rsid w:val="00C44791"/>
    <w:rsid w:val="00C44AB8"/>
    <w:rsid w:val="00C44AF2"/>
    <w:rsid w:val="00C44D8B"/>
    <w:rsid w:val="00C44E6D"/>
    <w:rsid w:val="00C44F85"/>
    <w:rsid w:val="00C45120"/>
    <w:rsid w:val="00C4546A"/>
    <w:rsid w:val="00C457CA"/>
    <w:rsid w:val="00C4581B"/>
    <w:rsid w:val="00C45B3E"/>
    <w:rsid w:val="00C45CFB"/>
    <w:rsid w:val="00C45F3E"/>
    <w:rsid w:val="00C45F4C"/>
    <w:rsid w:val="00C466E1"/>
    <w:rsid w:val="00C468FA"/>
    <w:rsid w:val="00C46A1C"/>
    <w:rsid w:val="00C46C67"/>
    <w:rsid w:val="00C47382"/>
    <w:rsid w:val="00C4741B"/>
    <w:rsid w:val="00C4746C"/>
    <w:rsid w:val="00C47624"/>
    <w:rsid w:val="00C477BF"/>
    <w:rsid w:val="00C477C1"/>
    <w:rsid w:val="00C47B9A"/>
    <w:rsid w:val="00C47BD6"/>
    <w:rsid w:val="00C47CAD"/>
    <w:rsid w:val="00C47D3B"/>
    <w:rsid w:val="00C47DAF"/>
    <w:rsid w:val="00C5002B"/>
    <w:rsid w:val="00C50136"/>
    <w:rsid w:val="00C502FC"/>
    <w:rsid w:val="00C5045C"/>
    <w:rsid w:val="00C509E4"/>
    <w:rsid w:val="00C50C56"/>
    <w:rsid w:val="00C50C62"/>
    <w:rsid w:val="00C50FF9"/>
    <w:rsid w:val="00C51224"/>
    <w:rsid w:val="00C51556"/>
    <w:rsid w:val="00C518FA"/>
    <w:rsid w:val="00C51A71"/>
    <w:rsid w:val="00C51C10"/>
    <w:rsid w:val="00C51DBD"/>
    <w:rsid w:val="00C51E47"/>
    <w:rsid w:val="00C52156"/>
    <w:rsid w:val="00C5239F"/>
    <w:rsid w:val="00C5241B"/>
    <w:rsid w:val="00C52475"/>
    <w:rsid w:val="00C526CC"/>
    <w:rsid w:val="00C52740"/>
    <w:rsid w:val="00C5288C"/>
    <w:rsid w:val="00C52AC2"/>
    <w:rsid w:val="00C52BF0"/>
    <w:rsid w:val="00C52D35"/>
    <w:rsid w:val="00C52E1C"/>
    <w:rsid w:val="00C52FC0"/>
    <w:rsid w:val="00C5300B"/>
    <w:rsid w:val="00C532BA"/>
    <w:rsid w:val="00C53340"/>
    <w:rsid w:val="00C534DD"/>
    <w:rsid w:val="00C534EE"/>
    <w:rsid w:val="00C536E4"/>
    <w:rsid w:val="00C53A13"/>
    <w:rsid w:val="00C53DDE"/>
    <w:rsid w:val="00C53E36"/>
    <w:rsid w:val="00C53E74"/>
    <w:rsid w:val="00C53EED"/>
    <w:rsid w:val="00C53F6D"/>
    <w:rsid w:val="00C53FC2"/>
    <w:rsid w:val="00C54263"/>
    <w:rsid w:val="00C5471C"/>
    <w:rsid w:val="00C54904"/>
    <w:rsid w:val="00C54D0D"/>
    <w:rsid w:val="00C54F64"/>
    <w:rsid w:val="00C5503E"/>
    <w:rsid w:val="00C5504D"/>
    <w:rsid w:val="00C55280"/>
    <w:rsid w:val="00C5533C"/>
    <w:rsid w:val="00C55417"/>
    <w:rsid w:val="00C5595B"/>
    <w:rsid w:val="00C55AE8"/>
    <w:rsid w:val="00C561F1"/>
    <w:rsid w:val="00C562F3"/>
    <w:rsid w:val="00C5636C"/>
    <w:rsid w:val="00C5645D"/>
    <w:rsid w:val="00C566B3"/>
    <w:rsid w:val="00C56808"/>
    <w:rsid w:val="00C568C5"/>
    <w:rsid w:val="00C5695C"/>
    <w:rsid w:val="00C56BFA"/>
    <w:rsid w:val="00C56DA8"/>
    <w:rsid w:val="00C56F5C"/>
    <w:rsid w:val="00C5703D"/>
    <w:rsid w:val="00C5728F"/>
    <w:rsid w:val="00C57354"/>
    <w:rsid w:val="00C57440"/>
    <w:rsid w:val="00C575D5"/>
    <w:rsid w:val="00C5768A"/>
    <w:rsid w:val="00C57690"/>
    <w:rsid w:val="00C57A70"/>
    <w:rsid w:val="00C57C61"/>
    <w:rsid w:val="00C57DE9"/>
    <w:rsid w:val="00C57E4E"/>
    <w:rsid w:val="00C57E5E"/>
    <w:rsid w:val="00C60023"/>
    <w:rsid w:val="00C6026D"/>
    <w:rsid w:val="00C6050D"/>
    <w:rsid w:val="00C6057B"/>
    <w:rsid w:val="00C60738"/>
    <w:rsid w:val="00C60763"/>
    <w:rsid w:val="00C607F2"/>
    <w:rsid w:val="00C60847"/>
    <w:rsid w:val="00C60894"/>
    <w:rsid w:val="00C60A76"/>
    <w:rsid w:val="00C60B5D"/>
    <w:rsid w:val="00C60D74"/>
    <w:rsid w:val="00C60D80"/>
    <w:rsid w:val="00C60E40"/>
    <w:rsid w:val="00C60F6C"/>
    <w:rsid w:val="00C6126B"/>
    <w:rsid w:val="00C61421"/>
    <w:rsid w:val="00C6147B"/>
    <w:rsid w:val="00C61481"/>
    <w:rsid w:val="00C6167E"/>
    <w:rsid w:val="00C6196F"/>
    <w:rsid w:val="00C6198F"/>
    <w:rsid w:val="00C61AA9"/>
    <w:rsid w:val="00C61C5D"/>
    <w:rsid w:val="00C61FA9"/>
    <w:rsid w:val="00C6204A"/>
    <w:rsid w:val="00C62293"/>
    <w:rsid w:val="00C623AE"/>
    <w:rsid w:val="00C62661"/>
    <w:rsid w:val="00C6282E"/>
    <w:rsid w:val="00C6287C"/>
    <w:rsid w:val="00C62C4D"/>
    <w:rsid w:val="00C62C94"/>
    <w:rsid w:val="00C62EBA"/>
    <w:rsid w:val="00C63012"/>
    <w:rsid w:val="00C6315F"/>
    <w:rsid w:val="00C6328B"/>
    <w:rsid w:val="00C6343F"/>
    <w:rsid w:val="00C63578"/>
    <w:rsid w:val="00C638A4"/>
    <w:rsid w:val="00C639DE"/>
    <w:rsid w:val="00C63A10"/>
    <w:rsid w:val="00C63A4D"/>
    <w:rsid w:val="00C63BB9"/>
    <w:rsid w:val="00C63C6A"/>
    <w:rsid w:val="00C63E6E"/>
    <w:rsid w:val="00C63E80"/>
    <w:rsid w:val="00C63EDD"/>
    <w:rsid w:val="00C63F50"/>
    <w:rsid w:val="00C6405E"/>
    <w:rsid w:val="00C64515"/>
    <w:rsid w:val="00C646A3"/>
    <w:rsid w:val="00C64768"/>
    <w:rsid w:val="00C647D1"/>
    <w:rsid w:val="00C64BBA"/>
    <w:rsid w:val="00C64BC2"/>
    <w:rsid w:val="00C64E76"/>
    <w:rsid w:val="00C65867"/>
    <w:rsid w:val="00C65B94"/>
    <w:rsid w:val="00C65BAF"/>
    <w:rsid w:val="00C65CB6"/>
    <w:rsid w:val="00C65E8B"/>
    <w:rsid w:val="00C65F5D"/>
    <w:rsid w:val="00C65FC1"/>
    <w:rsid w:val="00C66103"/>
    <w:rsid w:val="00C66453"/>
    <w:rsid w:val="00C664B8"/>
    <w:rsid w:val="00C664C2"/>
    <w:rsid w:val="00C6652C"/>
    <w:rsid w:val="00C666B2"/>
    <w:rsid w:val="00C66ACC"/>
    <w:rsid w:val="00C66BD4"/>
    <w:rsid w:val="00C66C98"/>
    <w:rsid w:val="00C66E03"/>
    <w:rsid w:val="00C66FC1"/>
    <w:rsid w:val="00C670CA"/>
    <w:rsid w:val="00C6717A"/>
    <w:rsid w:val="00C671D3"/>
    <w:rsid w:val="00C672D7"/>
    <w:rsid w:val="00C673DB"/>
    <w:rsid w:val="00C6754F"/>
    <w:rsid w:val="00C678DD"/>
    <w:rsid w:val="00C67A25"/>
    <w:rsid w:val="00C7016E"/>
    <w:rsid w:val="00C7017B"/>
    <w:rsid w:val="00C70180"/>
    <w:rsid w:val="00C70196"/>
    <w:rsid w:val="00C702F5"/>
    <w:rsid w:val="00C70315"/>
    <w:rsid w:val="00C70366"/>
    <w:rsid w:val="00C70377"/>
    <w:rsid w:val="00C703C7"/>
    <w:rsid w:val="00C70467"/>
    <w:rsid w:val="00C70703"/>
    <w:rsid w:val="00C708D2"/>
    <w:rsid w:val="00C70FEA"/>
    <w:rsid w:val="00C7110F"/>
    <w:rsid w:val="00C7111F"/>
    <w:rsid w:val="00C71168"/>
    <w:rsid w:val="00C7116F"/>
    <w:rsid w:val="00C712C7"/>
    <w:rsid w:val="00C71324"/>
    <w:rsid w:val="00C71519"/>
    <w:rsid w:val="00C71590"/>
    <w:rsid w:val="00C718D6"/>
    <w:rsid w:val="00C71CC6"/>
    <w:rsid w:val="00C71DB2"/>
    <w:rsid w:val="00C71E40"/>
    <w:rsid w:val="00C72191"/>
    <w:rsid w:val="00C721CD"/>
    <w:rsid w:val="00C7243F"/>
    <w:rsid w:val="00C724F4"/>
    <w:rsid w:val="00C725F6"/>
    <w:rsid w:val="00C726EE"/>
    <w:rsid w:val="00C7282D"/>
    <w:rsid w:val="00C72948"/>
    <w:rsid w:val="00C729F4"/>
    <w:rsid w:val="00C72D19"/>
    <w:rsid w:val="00C72E1B"/>
    <w:rsid w:val="00C72E4D"/>
    <w:rsid w:val="00C72F36"/>
    <w:rsid w:val="00C73485"/>
    <w:rsid w:val="00C736F7"/>
    <w:rsid w:val="00C7378D"/>
    <w:rsid w:val="00C73A68"/>
    <w:rsid w:val="00C73C3D"/>
    <w:rsid w:val="00C73E97"/>
    <w:rsid w:val="00C740C6"/>
    <w:rsid w:val="00C740D2"/>
    <w:rsid w:val="00C74343"/>
    <w:rsid w:val="00C74357"/>
    <w:rsid w:val="00C7444D"/>
    <w:rsid w:val="00C7483E"/>
    <w:rsid w:val="00C7487E"/>
    <w:rsid w:val="00C74A5E"/>
    <w:rsid w:val="00C74ADD"/>
    <w:rsid w:val="00C74B1D"/>
    <w:rsid w:val="00C74B41"/>
    <w:rsid w:val="00C74B9D"/>
    <w:rsid w:val="00C74C40"/>
    <w:rsid w:val="00C74C9E"/>
    <w:rsid w:val="00C74CD8"/>
    <w:rsid w:val="00C74D07"/>
    <w:rsid w:val="00C74DC5"/>
    <w:rsid w:val="00C74E9D"/>
    <w:rsid w:val="00C74F3B"/>
    <w:rsid w:val="00C74F4D"/>
    <w:rsid w:val="00C74FEF"/>
    <w:rsid w:val="00C751D0"/>
    <w:rsid w:val="00C75226"/>
    <w:rsid w:val="00C752B2"/>
    <w:rsid w:val="00C75401"/>
    <w:rsid w:val="00C75440"/>
    <w:rsid w:val="00C755CE"/>
    <w:rsid w:val="00C755F7"/>
    <w:rsid w:val="00C75AEB"/>
    <w:rsid w:val="00C75B38"/>
    <w:rsid w:val="00C75D8A"/>
    <w:rsid w:val="00C76372"/>
    <w:rsid w:val="00C7640C"/>
    <w:rsid w:val="00C7642F"/>
    <w:rsid w:val="00C764AD"/>
    <w:rsid w:val="00C7656F"/>
    <w:rsid w:val="00C7662D"/>
    <w:rsid w:val="00C76688"/>
    <w:rsid w:val="00C766C6"/>
    <w:rsid w:val="00C7683B"/>
    <w:rsid w:val="00C7683C"/>
    <w:rsid w:val="00C76970"/>
    <w:rsid w:val="00C769B3"/>
    <w:rsid w:val="00C769BF"/>
    <w:rsid w:val="00C76AB4"/>
    <w:rsid w:val="00C76AC6"/>
    <w:rsid w:val="00C76C48"/>
    <w:rsid w:val="00C7705C"/>
    <w:rsid w:val="00C7718E"/>
    <w:rsid w:val="00C7748A"/>
    <w:rsid w:val="00C77541"/>
    <w:rsid w:val="00C77665"/>
    <w:rsid w:val="00C77726"/>
    <w:rsid w:val="00C77DC7"/>
    <w:rsid w:val="00C77DE3"/>
    <w:rsid w:val="00C77E88"/>
    <w:rsid w:val="00C77EB1"/>
    <w:rsid w:val="00C80002"/>
    <w:rsid w:val="00C80035"/>
    <w:rsid w:val="00C80136"/>
    <w:rsid w:val="00C8033F"/>
    <w:rsid w:val="00C80621"/>
    <w:rsid w:val="00C8066E"/>
    <w:rsid w:val="00C806BA"/>
    <w:rsid w:val="00C8070F"/>
    <w:rsid w:val="00C808C6"/>
    <w:rsid w:val="00C80E6E"/>
    <w:rsid w:val="00C80F1E"/>
    <w:rsid w:val="00C81051"/>
    <w:rsid w:val="00C8110A"/>
    <w:rsid w:val="00C812B2"/>
    <w:rsid w:val="00C814F5"/>
    <w:rsid w:val="00C81687"/>
    <w:rsid w:val="00C8192A"/>
    <w:rsid w:val="00C81AAD"/>
    <w:rsid w:val="00C820BB"/>
    <w:rsid w:val="00C82281"/>
    <w:rsid w:val="00C822EC"/>
    <w:rsid w:val="00C8249B"/>
    <w:rsid w:val="00C825CE"/>
    <w:rsid w:val="00C82775"/>
    <w:rsid w:val="00C82BB4"/>
    <w:rsid w:val="00C82D75"/>
    <w:rsid w:val="00C82E27"/>
    <w:rsid w:val="00C82E33"/>
    <w:rsid w:val="00C82ECE"/>
    <w:rsid w:val="00C83098"/>
    <w:rsid w:val="00C8333C"/>
    <w:rsid w:val="00C834D7"/>
    <w:rsid w:val="00C8358C"/>
    <w:rsid w:val="00C83618"/>
    <w:rsid w:val="00C838B5"/>
    <w:rsid w:val="00C83AA0"/>
    <w:rsid w:val="00C83B54"/>
    <w:rsid w:val="00C83C4D"/>
    <w:rsid w:val="00C83FE9"/>
    <w:rsid w:val="00C840A9"/>
    <w:rsid w:val="00C8417A"/>
    <w:rsid w:val="00C8419F"/>
    <w:rsid w:val="00C84261"/>
    <w:rsid w:val="00C844B7"/>
    <w:rsid w:val="00C846E0"/>
    <w:rsid w:val="00C84769"/>
    <w:rsid w:val="00C849D3"/>
    <w:rsid w:val="00C84B09"/>
    <w:rsid w:val="00C84C4E"/>
    <w:rsid w:val="00C84DBA"/>
    <w:rsid w:val="00C84F3A"/>
    <w:rsid w:val="00C851D3"/>
    <w:rsid w:val="00C85231"/>
    <w:rsid w:val="00C85262"/>
    <w:rsid w:val="00C859E9"/>
    <w:rsid w:val="00C85A34"/>
    <w:rsid w:val="00C85AC3"/>
    <w:rsid w:val="00C85AD4"/>
    <w:rsid w:val="00C85CF4"/>
    <w:rsid w:val="00C85D28"/>
    <w:rsid w:val="00C85E88"/>
    <w:rsid w:val="00C85ECE"/>
    <w:rsid w:val="00C85EE1"/>
    <w:rsid w:val="00C85FE3"/>
    <w:rsid w:val="00C86030"/>
    <w:rsid w:val="00C8605F"/>
    <w:rsid w:val="00C8616B"/>
    <w:rsid w:val="00C861DF"/>
    <w:rsid w:val="00C861E9"/>
    <w:rsid w:val="00C862C9"/>
    <w:rsid w:val="00C86348"/>
    <w:rsid w:val="00C863F1"/>
    <w:rsid w:val="00C86555"/>
    <w:rsid w:val="00C86576"/>
    <w:rsid w:val="00C866C9"/>
    <w:rsid w:val="00C86C2C"/>
    <w:rsid w:val="00C86DAD"/>
    <w:rsid w:val="00C86F52"/>
    <w:rsid w:val="00C86F8A"/>
    <w:rsid w:val="00C8706F"/>
    <w:rsid w:val="00C87096"/>
    <w:rsid w:val="00C872FD"/>
    <w:rsid w:val="00C87432"/>
    <w:rsid w:val="00C8767A"/>
    <w:rsid w:val="00C876A7"/>
    <w:rsid w:val="00C877B6"/>
    <w:rsid w:val="00C87C79"/>
    <w:rsid w:val="00C87F63"/>
    <w:rsid w:val="00C90163"/>
    <w:rsid w:val="00C90404"/>
    <w:rsid w:val="00C904C8"/>
    <w:rsid w:val="00C907E3"/>
    <w:rsid w:val="00C9081B"/>
    <w:rsid w:val="00C90943"/>
    <w:rsid w:val="00C90B9E"/>
    <w:rsid w:val="00C9103B"/>
    <w:rsid w:val="00C91144"/>
    <w:rsid w:val="00C911E3"/>
    <w:rsid w:val="00C912A1"/>
    <w:rsid w:val="00C913FE"/>
    <w:rsid w:val="00C9148A"/>
    <w:rsid w:val="00C9150C"/>
    <w:rsid w:val="00C9194D"/>
    <w:rsid w:val="00C919C1"/>
    <w:rsid w:val="00C91AFB"/>
    <w:rsid w:val="00C91B1A"/>
    <w:rsid w:val="00C91D4F"/>
    <w:rsid w:val="00C91D8D"/>
    <w:rsid w:val="00C91DD9"/>
    <w:rsid w:val="00C91EA9"/>
    <w:rsid w:val="00C9204D"/>
    <w:rsid w:val="00C92348"/>
    <w:rsid w:val="00C92378"/>
    <w:rsid w:val="00C92379"/>
    <w:rsid w:val="00C923DE"/>
    <w:rsid w:val="00C923F9"/>
    <w:rsid w:val="00C92473"/>
    <w:rsid w:val="00C926E7"/>
    <w:rsid w:val="00C92829"/>
    <w:rsid w:val="00C92C24"/>
    <w:rsid w:val="00C92D56"/>
    <w:rsid w:val="00C93509"/>
    <w:rsid w:val="00C937CE"/>
    <w:rsid w:val="00C937FA"/>
    <w:rsid w:val="00C9389A"/>
    <w:rsid w:val="00C93ED4"/>
    <w:rsid w:val="00C93FE2"/>
    <w:rsid w:val="00C945E0"/>
    <w:rsid w:val="00C947AA"/>
    <w:rsid w:val="00C94946"/>
    <w:rsid w:val="00C9496E"/>
    <w:rsid w:val="00C949D1"/>
    <w:rsid w:val="00C94A95"/>
    <w:rsid w:val="00C950B2"/>
    <w:rsid w:val="00C953A5"/>
    <w:rsid w:val="00C95480"/>
    <w:rsid w:val="00C9579B"/>
    <w:rsid w:val="00C957F6"/>
    <w:rsid w:val="00C95C73"/>
    <w:rsid w:val="00C95EA4"/>
    <w:rsid w:val="00C960DC"/>
    <w:rsid w:val="00C96315"/>
    <w:rsid w:val="00C96352"/>
    <w:rsid w:val="00C96516"/>
    <w:rsid w:val="00C967F6"/>
    <w:rsid w:val="00C9685D"/>
    <w:rsid w:val="00C9690A"/>
    <w:rsid w:val="00C96C06"/>
    <w:rsid w:val="00C96E52"/>
    <w:rsid w:val="00C96FB3"/>
    <w:rsid w:val="00C971DD"/>
    <w:rsid w:val="00C97430"/>
    <w:rsid w:val="00C9757E"/>
    <w:rsid w:val="00C977BE"/>
    <w:rsid w:val="00C97994"/>
    <w:rsid w:val="00C9799A"/>
    <w:rsid w:val="00C97ABF"/>
    <w:rsid w:val="00C97B64"/>
    <w:rsid w:val="00C97BFC"/>
    <w:rsid w:val="00CA00E6"/>
    <w:rsid w:val="00CA00F1"/>
    <w:rsid w:val="00CA01E9"/>
    <w:rsid w:val="00CA040D"/>
    <w:rsid w:val="00CA0476"/>
    <w:rsid w:val="00CA047E"/>
    <w:rsid w:val="00CA04BD"/>
    <w:rsid w:val="00CA06B5"/>
    <w:rsid w:val="00CA09AC"/>
    <w:rsid w:val="00CA0D9A"/>
    <w:rsid w:val="00CA0DC1"/>
    <w:rsid w:val="00CA107D"/>
    <w:rsid w:val="00CA122C"/>
    <w:rsid w:val="00CA1286"/>
    <w:rsid w:val="00CA1397"/>
    <w:rsid w:val="00CA1CE4"/>
    <w:rsid w:val="00CA1E11"/>
    <w:rsid w:val="00CA22A2"/>
    <w:rsid w:val="00CA22C3"/>
    <w:rsid w:val="00CA2321"/>
    <w:rsid w:val="00CA23F7"/>
    <w:rsid w:val="00CA2416"/>
    <w:rsid w:val="00CA285A"/>
    <w:rsid w:val="00CA2981"/>
    <w:rsid w:val="00CA2A7D"/>
    <w:rsid w:val="00CA2BA6"/>
    <w:rsid w:val="00CA2BFE"/>
    <w:rsid w:val="00CA3047"/>
    <w:rsid w:val="00CA32A5"/>
    <w:rsid w:val="00CA32DE"/>
    <w:rsid w:val="00CA349F"/>
    <w:rsid w:val="00CA34E6"/>
    <w:rsid w:val="00CA35B0"/>
    <w:rsid w:val="00CA3652"/>
    <w:rsid w:val="00CA36E7"/>
    <w:rsid w:val="00CA3803"/>
    <w:rsid w:val="00CA3AFF"/>
    <w:rsid w:val="00CA3B60"/>
    <w:rsid w:val="00CA3D48"/>
    <w:rsid w:val="00CA3E85"/>
    <w:rsid w:val="00CA4020"/>
    <w:rsid w:val="00CA411A"/>
    <w:rsid w:val="00CA449F"/>
    <w:rsid w:val="00CA44CE"/>
    <w:rsid w:val="00CA4523"/>
    <w:rsid w:val="00CA4817"/>
    <w:rsid w:val="00CA48EC"/>
    <w:rsid w:val="00CA4AD5"/>
    <w:rsid w:val="00CA5044"/>
    <w:rsid w:val="00CA53E4"/>
    <w:rsid w:val="00CA55B8"/>
    <w:rsid w:val="00CA5659"/>
    <w:rsid w:val="00CA574C"/>
    <w:rsid w:val="00CA5872"/>
    <w:rsid w:val="00CA58B1"/>
    <w:rsid w:val="00CA592B"/>
    <w:rsid w:val="00CA5B19"/>
    <w:rsid w:val="00CA5E26"/>
    <w:rsid w:val="00CA5E7A"/>
    <w:rsid w:val="00CA5F6C"/>
    <w:rsid w:val="00CA5F94"/>
    <w:rsid w:val="00CA6060"/>
    <w:rsid w:val="00CA6080"/>
    <w:rsid w:val="00CA6265"/>
    <w:rsid w:val="00CA6387"/>
    <w:rsid w:val="00CA63D9"/>
    <w:rsid w:val="00CA6457"/>
    <w:rsid w:val="00CA6531"/>
    <w:rsid w:val="00CA6763"/>
    <w:rsid w:val="00CA6783"/>
    <w:rsid w:val="00CA67D0"/>
    <w:rsid w:val="00CA6838"/>
    <w:rsid w:val="00CA68D5"/>
    <w:rsid w:val="00CA699F"/>
    <w:rsid w:val="00CA69C8"/>
    <w:rsid w:val="00CA6A0C"/>
    <w:rsid w:val="00CA6BBA"/>
    <w:rsid w:val="00CA6C3C"/>
    <w:rsid w:val="00CA6F8C"/>
    <w:rsid w:val="00CA71CC"/>
    <w:rsid w:val="00CA756A"/>
    <w:rsid w:val="00CA7698"/>
    <w:rsid w:val="00CA76C7"/>
    <w:rsid w:val="00CA777B"/>
    <w:rsid w:val="00CA782B"/>
    <w:rsid w:val="00CA79F1"/>
    <w:rsid w:val="00CA7C89"/>
    <w:rsid w:val="00CA7CC6"/>
    <w:rsid w:val="00CA7E9A"/>
    <w:rsid w:val="00CA7EBA"/>
    <w:rsid w:val="00CA7FAB"/>
    <w:rsid w:val="00CA7FCB"/>
    <w:rsid w:val="00CA7FE2"/>
    <w:rsid w:val="00CB01BE"/>
    <w:rsid w:val="00CB022F"/>
    <w:rsid w:val="00CB02E4"/>
    <w:rsid w:val="00CB0494"/>
    <w:rsid w:val="00CB049A"/>
    <w:rsid w:val="00CB068A"/>
    <w:rsid w:val="00CB06FD"/>
    <w:rsid w:val="00CB073B"/>
    <w:rsid w:val="00CB0758"/>
    <w:rsid w:val="00CB0A30"/>
    <w:rsid w:val="00CB0D11"/>
    <w:rsid w:val="00CB0D88"/>
    <w:rsid w:val="00CB1219"/>
    <w:rsid w:val="00CB1460"/>
    <w:rsid w:val="00CB15DE"/>
    <w:rsid w:val="00CB1D5C"/>
    <w:rsid w:val="00CB1DB0"/>
    <w:rsid w:val="00CB1E55"/>
    <w:rsid w:val="00CB1F3B"/>
    <w:rsid w:val="00CB1FFD"/>
    <w:rsid w:val="00CB21A4"/>
    <w:rsid w:val="00CB24EB"/>
    <w:rsid w:val="00CB279A"/>
    <w:rsid w:val="00CB27EF"/>
    <w:rsid w:val="00CB2956"/>
    <w:rsid w:val="00CB2978"/>
    <w:rsid w:val="00CB2A53"/>
    <w:rsid w:val="00CB2CE8"/>
    <w:rsid w:val="00CB2F5B"/>
    <w:rsid w:val="00CB2F7F"/>
    <w:rsid w:val="00CB33B7"/>
    <w:rsid w:val="00CB34F7"/>
    <w:rsid w:val="00CB3600"/>
    <w:rsid w:val="00CB36A2"/>
    <w:rsid w:val="00CB36EA"/>
    <w:rsid w:val="00CB391D"/>
    <w:rsid w:val="00CB3A43"/>
    <w:rsid w:val="00CB3B4B"/>
    <w:rsid w:val="00CB3DBA"/>
    <w:rsid w:val="00CB3F81"/>
    <w:rsid w:val="00CB414C"/>
    <w:rsid w:val="00CB4353"/>
    <w:rsid w:val="00CB43D5"/>
    <w:rsid w:val="00CB46E2"/>
    <w:rsid w:val="00CB4742"/>
    <w:rsid w:val="00CB4759"/>
    <w:rsid w:val="00CB489F"/>
    <w:rsid w:val="00CB4A11"/>
    <w:rsid w:val="00CB4A8B"/>
    <w:rsid w:val="00CB4B9C"/>
    <w:rsid w:val="00CB4C27"/>
    <w:rsid w:val="00CB4C90"/>
    <w:rsid w:val="00CB4CDF"/>
    <w:rsid w:val="00CB4D2D"/>
    <w:rsid w:val="00CB4FBD"/>
    <w:rsid w:val="00CB51A6"/>
    <w:rsid w:val="00CB528D"/>
    <w:rsid w:val="00CB5519"/>
    <w:rsid w:val="00CB55CA"/>
    <w:rsid w:val="00CB580F"/>
    <w:rsid w:val="00CB583C"/>
    <w:rsid w:val="00CB585F"/>
    <w:rsid w:val="00CB58B3"/>
    <w:rsid w:val="00CB5995"/>
    <w:rsid w:val="00CB5E12"/>
    <w:rsid w:val="00CB5EB8"/>
    <w:rsid w:val="00CB6286"/>
    <w:rsid w:val="00CB6349"/>
    <w:rsid w:val="00CB639A"/>
    <w:rsid w:val="00CB6429"/>
    <w:rsid w:val="00CB65EC"/>
    <w:rsid w:val="00CB6647"/>
    <w:rsid w:val="00CB69A9"/>
    <w:rsid w:val="00CB6B17"/>
    <w:rsid w:val="00CB6F1F"/>
    <w:rsid w:val="00CB6F47"/>
    <w:rsid w:val="00CB7046"/>
    <w:rsid w:val="00CB720B"/>
    <w:rsid w:val="00CB74B5"/>
    <w:rsid w:val="00CB74E9"/>
    <w:rsid w:val="00CB7586"/>
    <w:rsid w:val="00CB789B"/>
    <w:rsid w:val="00CB7B98"/>
    <w:rsid w:val="00CB7D92"/>
    <w:rsid w:val="00CB7DA3"/>
    <w:rsid w:val="00CB7DB5"/>
    <w:rsid w:val="00CB7E73"/>
    <w:rsid w:val="00CB7FA3"/>
    <w:rsid w:val="00CC0080"/>
    <w:rsid w:val="00CC020E"/>
    <w:rsid w:val="00CC026A"/>
    <w:rsid w:val="00CC051F"/>
    <w:rsid w:val="00CC07F3"/>
    <w:rsid w:val="00CC0A6A"/>
    <w:rsid w:val="00CC0B6F"/>
    <w:rsid w:val="00CC0B78"/>
    <w:rsid w:val="00CC0B83"/>
    <w:rsid w:val="00CC0C11"/>
    <w:rsid w:val="00CC0C77"/>
    <w:rsid w:val="00CC0C83"/>
    <w:rsid w:val="00CC10B7"/>
    <w:rsid w:val="00CC1245"/>
    <w:rsid w:val="00CC1362"/>
    <w:rsid w:val="00CC14A5"/>
    <w:rsid w:val="00CC1769"/>
    <w:rsid w:val="00CC17FE"/>
    <w:rsid w:val="00CC1B8A"/>
    <w:rsid w:val="00CC1CFD"/>
    <w:rsid w:val="00CC1D2C"/>
    <w:rsid w:val="00CC1D46"/>
    <w:rsid w:val="00CC1D80"/>
    <w:rsid w:val="00CC2240"/>
    <w:rsid w:val="00CC238F"/>
    <w:rsid w:val="00CC24B4"/>
    <w:rsid w:val="00CC24F6"/>
    <w:rsid w:val="00CC2511"/>
    <w:rsid w:val="00CC253B"/>
    <w:rsid w:val="00CC2815"/>
    <w:rsid w:val="00CC2ADA"/>
    <w:rsid w:val="00CC2D0E"/>
    <w:rsid w:val="00CC2D35"/>
    <w:rsid w:val="00CC2D61"/>
    <w:rsid w:val="00CC33FA"/>
    <w:rsid w:val="00CC35E0"/>
    <w:rsid w:val="00CC369C"/>
    <w:rsid w:val="00CC3962"/>
    <w:rsid w:val="00CC3A99"/>
    <w:rsid w:val="00CC3C63"/>
    <w:rsid w:val="00CC3D39"/>
    <w:rsid w:val="00CC3D70"/>
    <w:rsid w:val="00CC402A"/>
    <w:rsid w:val="00CC409E"/>
    <w:rsid w:val="00CC42B3"/>
    <w:rsid w:val="00CC4303"/>
    <w:rsid w:val="00CC4605"/>
    <w:rsid w:val="00CC476D"/>
    <w:rsid w:val="00CC479E"/>
    <w:rsid w:val="00CC47BD"/>
    <w:rsid w:val="00CC47CD"/>
    <w:rsid w:val="00CC4DC5"/>
    <w:rsid w:val="00CC4E56"/>
    <w:rsid w:val="00CC4E6E"/>
    <w:rsid w:val="00CC4F17"/>
    <w:rsid w:val="00CC50BD"/>
    <w:rsid w:val="00CC513C"/>
    <w:rsid w:val="00CC51AC"/>
    <w:rsid w:val="00CC53F9"/>
    <w:rsid w:val="00CC5506"/>
    <w:rsid w:val="00CC5641"/>
    <w:rsid w:val="00CC5757"/>
    <w:rsid w:val="00CC5838"/>
    <w:rsid w:val="00CC5B67"/>
    <w:rsid w:val="00CC5C9A"/>
    <w:rsid w:val="00CC5E32"/>
    <w:rsid w:val="00CC601D"/>
    <w:rsid w:val="00CC609E"/>
    <w:rsid w:val="00CC60E3"/>
    <w:rsid w:val="00CC624B"/>
    <w:rsid w:val="00CC67CC"/>
    <w:rsid w:val="00CC6B7B"/>
    <w:rsid w:val="00CC6D24"/>
    <w:rsid w:val="00CC6E6F"/>
    <w:rsid w:val="00CC70BE"/>
    <w:rsid w:val="00CC729D"/>
    <w:rsid w:val="00CC7439"/>
    <w:rsid w:val="00CC7C7C"/>
    <w:rsid w:val="00CC7D46"/>
    <w:rsid w:val="00CD012C"/>
    <w:rsid w:val="00CD018F"/>
    <w:rsid w:val="00CD0200"/>
    <w:rsid w:val="00CD052C"/>
    <w:rsid w:val="00CD06E6"/>
    <w:rsid w:val="00CD0717"/>
    <w:rsid w:val="00CD0871"/>
    <w:rsid w:val="00CD0C20"/>
    <w:rsid w:val="00CD0D1B"/>
    <w:rsid w:val="00CD1030"/>
    <w:rsid w:val="00CD1325"/>
    <w:rsid w:val="00CD13D1"/>
    <w:rsid w:val="00CD13DD"/>
    <w:rsid w:val="00CD1589"/>
    <w:rsid w:val="00CD1724"/>
    <w:rsid w:val="00CD19A9"/>
    <w:rsid w:val="00CD1B09"/>
    <w:rsid w:val="00CD1B97"/>
    <w:rsid w:val="00CD1E07"/>
    <w:rsid w:val="00CD1E5C"/>
    <w:rsid w:val="00CD1F70"/>
    <w:rsid w:val="00CD21C5"/>
    <w:rsid w:val="00CD2646"/>
    <w:rsid w:val="00CD26DC"/>
    <w:rsid w:val="00CD274C"/>
    <w:rsid w:val="00CD29D6"/>
    <w:rsid w:val="00CD2AF5"/>
    <w:rsid w:val="00CD2CF0"/>
    <w:rsid w:val="00CD2D1C"/>
    <w:rsid w:val="00CD2E1B"/>
    <w:rsid w:val="00CD2F08"/>
    <w:rsid w:val="00CD32F7"/>
    <w:rsid w:val="00CD3384"/>
    <w:rsid w:val="00CD3608"/>
    <w:rsid w:val="00CD383A"/>
    <w:rsid w:val="00CD3865"/>
    <w:rsid w:val="00CD38EE"/>
    <w:rsid w:val="00CD392E"/>
    <w:rsid w:val="00CD3AF8"/>
    <w:rsid w:val="00CD3C22"/>
    <w:rsid w:val="00CD3CF7"/>
    <w:rsid w:val="00CD3E19"/>
    <w:rsid w:val="00CD402F"/>
    <w:rsid w:val="00CD42A1"/>
    <w:rsid w:val="00CD42A6"/>
    <w:rsid w:val="00CD42C0"/>
    <w:rsid w:val="00CD4443"/>
    <w:rsid w:val="00CD457D"/>
    <w:rsid w:val="00CD4762"/>
    <w:rsid w:val="00CD4777"/>
    <w:rsid w:val="00CD47C1"/>
    <w:rsid w:val="00CD4C87"/>
    <w:rsid w:val="00CD4DA1"/>
    <w:rsid w:val="00CD5154"/>
    <w:rsid w:val="00CD5162"/>
    <w:rsid w:val="00CD5369"/>
    <w:rsid w:val="00CD562C"/>
    <w:rsid w:val="00CD5668"/>
    <w:rsid w:val="00CD5B52"/>
    <w:rsid w:val="00CD5B6A"/>
    <w:rsid w:val="00CD5F0A"/>
    <w:rsid w:val="00CD601E"/>
    <w:rsid w:val="00CD607A"/>
    <w:rsid w:val="00CD60C6"/>
    <w:rsid w:val="00CD624A"/>
    <w:rsid w:val="00CD6291"/>
    <w:rsid w:val="00CD6333"/>
    <w:rsid w:val="00CD63F6"/>
    <w:rsid w:val="00CD64E9"/>
    <w:rsid w:val="00CD6550"/>
    <w:rsid w:val="00CD6AAA"/>
    <w:rsid w:val="00CD6C6C"/>
    <w:rsid w:val="00CD6E01"/>
    <w:rsid w:val="00CD6E0A"/>
    <w:rsid w:val="00CD6EDD"/>
    <w:rsid w:val="00CD6FAA"/>
    <w:rsid w:val="00CD712E"/>
    <w:rsid w:val="00CD7170"/>
    <w:rsid w:val="00CD71D7"/>
    <w:rsid w:val="00CD71E8"/>
    <w:rsid w:val="00CD71F7"/>
    <w:rsid w:val="00CD74BC"/>
    <w:rsid w:val="00CD7508"/>
    <w:rsid w:val="00CD7596"/>
    <w:rsid w:val="00CD7AC3"/>
    <w:rsid w:val="00CD7B40"/>
    <w:rsid w:val="00CD7B66"/>
    <w:rsid w:val="00CD7BE5"/>
    <w:rsid w:val="00CD7CFE"/>
    <w:rsid w:val="00CD7F61"/>
    <w:rsid w:val="00CE0034"/>
    <w:rsid w:val="00CE00EB"/>
    <w:rsid w:val="00CE072D"/>
    <w:rsid w:val="00CE0ABE"/>
    <w:rsid w:val="00CE0B52"/>
    <w:rsid w:val="00CE0C01"/>
    <w:rsid w:val="00CE0E27"/>
    <w:rsid w:val="00CE0E97"/>
    <w:rsid w:val="00CE0ECA"/>
    <w:rsid w:val="00CE0F6F"/>
    <w:rsid w:val="00CE13D5"/>
    <w:rsid w:val="00CE1784"/>
    <w:rsid w:val="00CE181D"/>
    <w:rsid w:val="00CE1962"/>
    <w:rsid w:val="00CE198D"/>
    <w:rsid w:val="00CE1A71"/>
    <w:rsid w:val="00CE1C80"/>
    <w:rsid w:val="00CE1D1F"/>
    <w:rsid w:val="00CE1EF3"/>
    <w:rsid w:val="00CE20E5"/>
    <w:rsid w:val="00CE22F2"/>
    <w:rsid w:val="00CE238D"/>
    <w:rsid w:val="00CE25A3"/>
    <w:rsid w:val="00CE2671"/>
    <w:rsid w:val="00CE27C7"/>
    <w:rsid w:val="00CE2835"/>
    <w:rsid w:val="00CE28C9"/>
    <w:rsid w:val="00CE29E2"/>
    <w:rsid w:val="00CE2C75"/>
    <w:rsid w:val="00CE2CB7"/>
    <w:rsid w:val="00CE2E0B"/>
    <w:rsid w:val="00CE2E3A"/>
    <w:rsid w:val="00CE3143"/>
    <w:rsid w:val="00CE3148"/>
    <w:rsid w:val="00CE31F6"/>
    <w:rsid w:val="00CE3228"/>
    <w:rsid w:val="00CE32F3"/>
    <w:rsid w:val="00CE336C"/>
    <w:rsid w:val="00CE33E0"/>
    <w:rsid w:val="00CE3581"/>
    <w:rsid w:val="00CE3844"/>
    <w:rsid w:val="00CE38F9"/>
    <w:rsid w:val="00CE3A01"/>
    <w:rsid w:val="00CE3D9F"/>
    <w:rsid w:val="00CE3F73"/>
    <w:rsid w:val="00CE41E9"/>
    <w:rsid w:val="00CE4270"/>
    <w:rsid w:val="00CE427A"/>
    <w:rsid w:val="00CE46A2"/>
    <w:rsid w:val="00CE4785"/>
    <w:rsid w:val="00CE47D4"/>
    <w:rsid w:val="00CE4920"/>
    <w:rsid w:val="00CE4D56"/>
    <w:rsid w:val="00CE4E63"/>
    <w:rsid w:val="00CE4F22"/>
    <w:rsid w:val="00CE4FC5"/>
    <w:rsid w:val="00CE501D"/>
    <w:rsid w:val="00CE51DA"/>
    <w:rsid w:val="00CE5225"/>
    <w:rsid w:val="00CE52DF"/>
    <w:rsid w:val="00CE5337"/>
    <w:rsid w:val="00CE5388"/>
    <w:rsid w:val="00CE55D6"/>
    <w:rsid w:val="00CE567E"/>
    <w:rsid w:val="00CE578F"/>
    <w:rsid w:val="00CE5972"/>
    <w:rsid w:val="00CE5B8A"/>
    <w:rsid w:val="00CE6346"/>
    <w:rsid w:val="00CE6398"/>
    <w:rsid w:val="00CE684D"/>
    <w:rsid w:val="00CE6870"/>
    <w:rsid w:val="00CE6994"/>
    <w:rsid w:val="00CE6A0A"/>
    <w:rsid w:val="00CE6A76"/>
    <w:rsid w:val="00CE6C57"/>
    <w:rsid w:val="00CE6D14"/>
    <w:rsid w:val="00CE6DD1"/>
    <w:rsid w:val="00CE7187"/>
    <w:rsid w:val="00CE724B"/>
    <w:rsid w:val="00CE72EF"/>
    <w:rsid w:val="00CE73EF"/>
    <w:rsid w:val="00CE7540"/>
    <w:rsid w:val="00CE755E"/>
    <w:rsid w:val="00CE763F"/>
    <w:rsid w:val="00CE76B2"/>
    <w:rsid w:val="00CE76B8"/>
    <w:rsid w:val="00CE7733"/>
    <w:rsid w:val="00CE79B0"/>
    <w:rsid w:val="00CE7C40"/>
    <w:rsid w:val="00CF0490"/>
    <w:rsid w:val="00CF08DF"/>
    <w:rsid w:val="00CF0A7C"/>
    <w:rsid w:val="00CF0C6D"/>
    <w:rsid w:val="00CF0E40"/>
    <w:rsid w:val="00CF0EE6"/>
    <w:rsid w:val="00CF0F37"/>
    <w:rsid w:val="00CF0F81"/>
    <w:rsid w:val="00CF12AA"/>
    <w:rsid w:val="00CF14EB"/>
    <w:rsid w:val="00CF16B3"/>
    <w:rsid w:val="00CF16E9"/>
    <w:rsid w:val="00CF1B35"/>
    <w:rsid w:val="00CF1B67"/>
    <w:rsid w:val="00CF1E96"/>
    <w:rsid w:val="00CF20DC"/>
    <w:rsid w:val="00CF2151"/>
    <w:rsid w:val="00CF2272"/>
    <w:rsid w:val="00CF2319"/>
    <w:rsid w:val="00CF231B"/>
    <w:rsid w:val="00CF23A3"/>
    <w:rsid w:val="00CF25EC"/>
    <w:rsid w:val="00CF272E"/>
    <w:rsid w:val="00CF2799"/>
    <w:rsid w:val="00CF28A8"/>
    <w:rsid w:val="00CF2ADE"/>
    <w:rsid w:val="00CF2B96"/>
    <w:rsid w:val="00CF2BD5"/>
    <w:rsid w:val="00CF2D33"/>
    <w:rsid w:val="00CF2DDC"/>
    <w:rsid w:val="00CF2E66"/>
    <w:rsid w:val="00CF3124"/>
    <w:rsid w:val="00CF32C2"/>
    <w:rsid w:val="00CF32FF"/>
    <w:rsid w:val="00CF337D"/>
    <w:rsid w:val="00CF3805"/>
    <w:rsid w:val="00CF3AB9"/>
    <w:rsid w:val="00CF3AF9"/>
    <w:rsid w:val="00CF3B94"/>
    <w:rsid w:val="00CF3FF5"/>
    <w:rsid w:val="00CF4100"/>
    <w:rsid w:val="00CF446D"/>
    <w:rsid w:val="00CF45A4"/>
    <w:rsid w:val="00CF4747"/>
    <w:rsid w:val="00CF4748"/>
    <w:rsid w:val="00CF4952"/>
    <w:rsid w:val="00CF4C77"/>
    <w:rsid w:val="00CF5203"/>
    <w:rsid w:val="00CF54D8"/>
    <w:rsid w:val="00CF5A38"/>
    <w:rsid w:val="00CF5BD1"/>
    <w:rsid w:val="00CF5F1D"/>
    <w:rsid w:val="00CF5FDE"/>
    <w:rsid w:val="00CF6057"/>
    <w:rsid w:val="00CF619E"/>
    <w:rsid w:val="00CF61B9"/>
    <w:rsid w:val="00CF6293"/>
    <w:rsid w:val="00CF6367"/>
    <w:rsid w:val="00CF6433"/>
    <w:rsid w:val="00CF64F0"/>
    <w:rsid w:val="00CF6556"/>
    <w:rsid w:val="00CF6651"/>
    <w:rsid w:val="00CF68EC"/>
    <w:rsid w:val="00CF6B8C"/>
    <w:rsid w:val="00CF6EA3"/>
    <w:rsid w:val="00CF6EB5"/>
    <w:rsid w:val="00CF7027"/>
    <w:rsid w:val="00CF714F"/>
    <w:rsid w:val="00CF7172"/>
    <w:rsid w:val="00CF71E5"/>
    <w:rsid w:val="00CF7245"/>
    <w:rsid w:val="00CF7538"/>
    <w:rsid w:val="00CF75F9"/>
    <w:rsid w:val="00CF7617"/>
    <w:rsid w:val="00CF7772"/>
    <w:rsid w:val="00CF78F5"/>
    <w:rsid w:val="00CF799A"/>
    <w:rsid w:val="00CF7AA9"/>
    <w:rsid w:val="00CF7AF3"/>
    <w:rsid w:val="00CF7B25"/>
    <w:rsid w:val="00CF7EB1"/>
    <w:rsid w:val="00D00080"/>
    <w:rsid w:val="00D003A4"/>
    <w:rsid w:val="00D004B6"/>
    <w:rsid w:val="00D007CE"/>
    <w:rsid w:val="00D0086A"/>
    <w:rsid w:val="00D00895"/>
    <w:rsid w:val="00D00C53"/>
    <w:rsid w:val="00D00FA8"/>
    <w:rsid w:val="00D012C5"/>
    <w:rsid w:val="00D01349"/>
    <w:rsid w:val="00D0149B"/>
    <w:rsid w:val="00D01625"/>
    <w:rsid w:val="00D01829"/>
    <w:rsid w:val="00D01A20"/>
    <w:rsid w:val="00D02223"/>
    <w:rsid w:val="00D022D5"/>
    <w:rsid w:val="00D02460"/>
    <w:rsid w:val="00D02673"/>
    <w:rsid w:val="00D027E2"/>
    <w:rsid w:val="00D02AAA"/>
    <w:rsid w:val="00D02B49"/>
    <w:rsid w:val="00D02C99"/>
    <w:rsid w:val="00D02EB9"/>
    <w:rsid w:val="00D02F64"/>
    <w:rsid w:val="00D031E1"/>
    <w:rsid w:val="00D0334F"/>
    <w:rsid w:val="00D03388"/>
    <w:rsid w:val="00D033FE"/>
    <w:rsid w:val="00D0357A"/>
    <w:rsid w:val="00D0382D"/>
    <w:rsid w:val="00D039A2"/>
    <w:rsid w:val="00D039EF"/>
    <w:rsid w:val="00D03C61"/>
    <w:rsid w:val="00D03E66"/>
    <w:rsid w:val="00D03F37"/>
    <w:rsid w:val="00D0429C"/>
    <w:rsid w:val="00D0446C"/>
    <w:rsid w:val="00D04514"/>
    <w:rsid w:val="00D045D2"/>
    <w:rsid w:val="00D04611"/>
    <w:rsid w:val="00D047E2"/>
    <w:rsid w:val="00D0488F"/>
    <w:rsid w:val="00D048C2"/>
    <w:rsid w:val="00D04C75"/>
    <w:rsid w:val="00D05062"/>
    <w:rsid w:val="00D050DC"/>
    <w:rsid w:val="00D051D2"/>
    <w:rsid w:val="00D0526C"/>
    <w:rsid w:val="00D052DD"/>
    <w:rsid w:val="00D054CC"/>
    <w:rsid w:val="00D05510"/>
    <w:rsid w:val="00D0565A"/>
    <w:rsid w:val="00D057D6"/>
    <w:rsid w:val="00D0582C"/>
    <w:rsid w:val="00D05866"/>
    <w:rsid w:val="00D05B32"/>
    <w:rsid w:val="00D05C49"/>
    <w:rsid w:val="00D05CE4"/>
    <w:rsid w:val="00D05D2C"/>
    <w:rsid w:val="00D05DC2"/>
    <w:rsid w:val="00D05F82"/>
    <w:rsid w:val="00D060CE"/>
    <w:rsid w:val="00D06156"/>
    <w:rsid w:val="00D062AA"/>
    <w:rsid w:val="00D062E6"/>
    <w:rsid w:val="00D064C2"/>
    <w:rsid w:val="00D06503"/>
    <w:rsid w:val="00D06A2D"/>
    <w:rsid w:val="00D06AA9"/>
    <w:rsid w:val="00D06D31"/>
    <w:rsid w:val="00D06F07"/>
    <w:rsid w:val="00D06FB2"/>
    <w:rsid w:val="00D07063"/>
    <w:rsid w:val="00D0725D"/>
    <w:rsid w:val="00D07471"/>
    <w:rsid w:val="00D07590"/>
    <w:rsid w:val="00D077B5"/>
    <w:rsid w:val="00D07EF4"/>
    <w:rsid w:val="00D10554"/>
    <w:rsid w:val="00D10619"/>
    <w:rsid w:val="00D10779"/>
    <w:rsid w:val="00D10832"/>
    <w:rsid w:val="00D109FA"/>
    <w:rsid w:val="00D10A78"/>
    <w:rsid w:val="00D10B50"/>
    <w:rsid w:val="00D10B6D"/>
    <w:rsid w:val="00D10D4A"/>
    <w:rsid w:val="00D11339"/>
    <w:rsid w:val="00D11437"/>
    <w:rsid w:val="00D11736"/>
    <w:rsid w:val="00D11752"/>
    <w:rsid w:val="00D11817"/>
    <w:rsid w:val="00D119AC"/>
    <w:rsid w:val="00D11BA8"/>
    <w:rsid w:val="00D11C4D"/>
    <w:rsid w:val="00D11D8A"/>
    <w:rsid w:val="00D12279"/>
    <w:rsid w:val="00D12494"/>
    <w:rsid w:val="00D1252F"/>
    <w:rsid w:val="00D125C0"/>
    <w:rsid w:val="00D1272D"/>
    <w:rsid w:val="00D1287A"/>
    <w:rsid w:val="00D12B39"/>
    <w:rsid w:val="00D12D46"/>
    <w:rsid w:val="00D13036"/>
    <w:rsid w:val="00D13422"/>
    <w:rsid w:val="00D13558"/>
    <w:rsid w:val="00D135CA"/>
    <w:rsid w:val="00D136F5"/>
    <w:rsid w:val="00D137EC"/>
    <w:rsid w:val="00D139A3"/>
    <w:rsid w:val="00D13A84"/>
    <w:rsid w:val="00D140C7"/>
    <w:rsid w:val="00D14363"/>
    <w:rsid w:val="00D1458A"/>
    <w:rsid w:val="00D145F5"/>
    <w:rsid w:val="00D14757"/>
    <w:rsid w:val="00D14843"/>
    <w:rsid w:val="00D14C4A"/>
    <w:rsid w:val="00D14D0A"/>
    <w:rsid w:val="00D14E1C"/>
    <w:rsid w:val="00D151C8"/>
    <w:rsid w:val="00D151F1"/>
    <w:rsid w:val="00D153B5"/>
    <w:rsid w:val="00D15686"/>
    <w:rsid w:val="00D156EC"/>
    <w:rsid w:val="00D156F2"/>
    <w:rsid w:val="00D15CE9"/>
    <w:rsid w:val="00D16098"/>
    <w:rsid w:val="00D16305"/>
    <w:rsid w:val="00D1643A"/>
    <w:rsid w:val="00D16506"/>
    <w:rsid w:val="00D16551"/>
    <w:rsid w:val="00D1661F"/>
    <w:rsid w:val="00D16A1E"/>
    <w:rsid w:val="00D16B58"/>
    <w:rsid w:val="00D16E3B"/>
    <w:rsid w:val="00D16F0E"/>
    <w:rsid w:val="00D170BF"/>
    <w:rsid w:val="00D170EE"/>
    <w:rsid w:val="00D17672"/>
    <w:rsid w:val="00D17678"/>
    <w:rsid w:val="00D17694"/>
    <w:rsid w:val="00D1788A"/>
    <w:rsid w:val="00D17903"/>
    <w:rsid w:val="00D17B09"/>
    <w:rsid w:val="00D17C79"/>
    <w:rsid w:val="00D17D84"/>
    <w:rsid w:val="00D17EBE"/>
    <w:rsid w:val="00D17EC8"/>
    <w:rsid w:val="00D200AE"/>
    <w:rsid w:val="00D2012E"/>
    <w:rsid w:val="00D201B4"/>
    <w:rsid w:val="00D201C0"/>
    <w:rsid w:val="00D2033D"/>
    <w:rsid w:val="00D204B7"/>
    <w:rsid w:val="00D20688"/>
    <w:rsid w:val="00D20746"/>
    <w:rsid w:val="00D208D5"/>
    <w:rsid w:val="00D20955"/>
    <w:rsid w:val="00D20A90"/>
    <w:rsid w:val="00D20ABD"/>
    <w:rsid w:val="00D20C4B"/>
    <w:rsid w:val="00D20E3C"/>
    <w:rsid w:val="00D20E88"/>
    <w:rsid w:val="00D21114"/>
    <w:rsid w:val="00D212B5"/>
    <w:rsid w:val="00D215B5"/>
    <w:rsid w:val="00D217D1"/>
    <w:rsid w:val="00D21897"/>
    <w:rsid w:val="00D21BA8"/>
    <w:rsid w:val="00D21DA1"/>
    <w:rsid w:val="00D21F51"/>
    <w:rsid w:val="00D22090"/>
    <w:rsid w:val="00D222D1"/>
    <w:rsid w:val="00D222E8"/>
    <w:rsid w:val="00D223F1"/>
    <w:rsid w:val="00D22452"/>
    <w:rsid w:val="00D226FD"/>
    <w:rsid w:val="00D227E1"/>
    <w:rsid w:val="00D22B83"/>
    <w:rsid w:val="00D22F78"/>
    <w:rsid w:val="00D2310A"/>
    <w:rsid w:val="00D234AA"/>
    <w:rsid w:val="00D234DD"/>
    <w:rsid w:val="00D23848"/>
    <w:rsid w:val="00D23863"/>
    <w:rsid w:val="00D23969"/>
    <w:rsid w:val="00D24740"/>
    <w:rsid w:val="00D248FE"/>
    <w:rsid w:val="00D24A24"/>
    <w:rsid w:val="00D24C01"/>
    <w:rsid w:val="00D24ED6"/>
    <w:rsid w:val="00D25007"/>
    <w:rsid w:val="00D25051"/>
    <w:rsid w:val="00D250D1"/>
    <w:rsid w:val="00D251B5"/>
    <w:rsid w:val="00D2545D"/>
    <w:rsid w:val="00D2586F"/>
    <w:rsid w:val="00D25E5E"/>
    <w:rsid w:val="00D2631F"/>
    <w:rsid w:val="00D264A2"/>
    <w:rsid w:val="00D264E4"/>
    <w:rsid w:val="00D26714"/>
    <w:rsid w:val="00D2674B"/>
    <w:rsid w:val="00D26760"/>
    <w:rsid w:val="00D26881"/>
    <w:rsid w:val="00D268E5"/>
    <w:rsid w:val="00D268FB"/>
    <w:rsid w:val="00D26DDD"/>
    <w:rsid w:val="00D26E46"/>
    <w:rsid w:val="00D2701B"/>
    <w:rsid w:val="00D27389"/>
    <w:rsid w:val="00D273C7"/>
    <w:rsid w:val="00D27635"/>
    <w:rsid w:val="00D276C1"/>
    <w:rsid w:val="00D27756"/>
    <w:rsid w:val="00D27A59"/>
    <w:rsid w:val="00D27B13"/>
    <w:rsid w:val="00D27C6C"/>
    <w:rsid w:val="00D27D15"/>
    <w:rsid w:val="00D27EF2"/>
    <w:rsid w:val="00D300C2"/>
    <w:rsid w:val="00D301DB"/>
    <w:rsid w:val="00D30320"/>
    <w:rsid w:val="00D303F7"/>
    <w:rsid w:val="00D3050E"/>
    <w:rsid w:val="00D308A7"/>
    <w:rsid w:val="00D309E0"/>
    <w:rsid w:val="00D30AF9"/>
    <w:rsid w:val="00D30C10"/>
    <w:rsid w:val="00D30DDE"/>
    <w:rsid w:val="00D310E2"/>
    <w:rsid w:val="00D31134"/>
    <w:rsid w:val="00D31289"/>
    <w:rsid w:val="00D312BD"/>
    <w:rsid w:val="00D315F2"/>
    <w:rsid w:val="00D318CA"/>
    <w:rsid w:val="00D3195B"/>
    <w:rsid w:val="00D3196E"/>
    <w:rsid w:val="00D319C2"/>
    <w:rsid w:val="00D31A0D"/>
    <w:rsid w:val="00D31E90"/>
    <w:rsid w:val="00D31EE3"/>
    <w:rsid w:val="00D32130"/>
    <w:rsid w:val="00D32214"/>
    <w:rsid w:val="00D32355"/>
    <w:rsid w:val="00D32394"/>
    <w:rsid w:val="00D323D5"/>
    <w:rsid w:val="00D32A97"/>
    <w:rsid w:val="00D32B24"/>
    <w:rsid w:val="00D32F61"/>
    <w:rsid w:val="00D3346B"/>
    <w:rsid w:val="00D3365F"/>
    <w:rsid w:val="00D336A8"/>
    <w:rsid w:val="00D336B3"/>
    <w:rsid w:val="00D339C3"/>
    <w:rsid w:val="00D33BF7"/>
    <w:rsid w:val="00D349EC"/>
    <w:rsid w:val="00D34C0C"/>
    <w:rsid w:val="00D34EDA"/>
    <w:rsid w:val="00D34F79"/>
    <w:rsid w:val="00D35093"/>
    <w:rsid w:val="00D35098"/>
    <w:rsid w:val="00D350B1"/>
    <w:rsid w:val="00D3535C"/>
    <w:rsid w:val="00D353F8"/>
    <w:rsid w:val="00D35756"/>
    <w:rsid w:val="00D3577F"/>
    <w:rsid w:val="00D3584C"/>
    <w:rsid w:val="00D3584F"/>
    <w:rsid w:val="00D35926"/>
    <w:rsid w:val="00D35A99"/>
    <w:rsid w:val="00D35AA2"/>
    <w:rsid w:val="00D35BE9"/>
    <w:rsid w:val="00D35EA0"/>
    <w:rsid w:val="00D35F3C"/>
    <w:rsid w:val="00D360BA"/>
    <w:rsid w:val="00D3665C"/>
    <w:rsid w:val="00D3695C"/>
    <w:rsid w:val="00D36980"/>
    <w:rsid w:val="00D36996"/>
    <w:rsid w:val="00D369C3"/>
    <w:rsid w:val="00D36B52"/>
    <w:rsid w:val="00D36C83"/>
    <w:rsid w:val="00D36D34"/>
    <w:rsid w:val="00D36D8D"/>
    <w:rsid w:val="00D36F00"/>
    <w:rsid w:val="00D36F32"/>
    <w:rsid w:val="00D372CA"/>
    <w:rsid w:val="00D37458"/>
    <w:rsid w:val="00D374A9"/>
    <w:rsid w:val="00D37600"/>
    <w:rsid w:val="00D37843"/>
    <w:rsid w:val="00D37902"/>
    <w:rsid w:val="00D3797C"/>
    <w:rsid w:val="00D37AE7"/>
    <w:rsid w:val="00D37B02"/>
    <w:rsid w:val="00D37C19"/>
    <w:rsid w:val="00D37CD5"/>
    <w:rsid w:val="00D37E6E"/>
    <w:rsid w:val="00D37EA0"/>
    <w:rsid w:val="00D37F7A"/>
    <w:rsid w:val="00D37FDC"/>
    <w:rsid w:val="00D40019"/>
    <w:rsid w:val="00D4016E"/>
    <w:rsid w:val="00D401A6"/>
    <w:rsid w:val="00D402AF"/>
    <w:rsid w:val="00D40381"/>
    <w:rsid w:val="00D404C9"/>
    <w:rsid w:val="00D40692"/>
    <w:rsid w:val="00D407FB"/>
    <w:rsid w:val="00D40992"/>
    <w:rsid w:val="00D40ABC"/>
    <w:rsid w:val="00D40C98"/>
    <w:rsid w:val="00D40D03"/>
    <w:rsid w:val="00D40FA3"/>
    <w:rsid w:val="00D40FDD"/>
    <w:rsid w:val="00D41522"/>
    <w:rsid w:val="00D415D9"/>
    <w:rsid w:val="00D416D7"/>
    <w:rsid w:val="00D41977"/>
    <w:rsid w:val="00D419E4"/>
    <w:rsid w:val="00D41A88"/>
    <w:rsid w:val="00D41BD3"/>
    <w:rsid w:val="00D41ED5"/>
    <w:rsid w:val="00D4247A"/>
    <w:rsid w:val="00D4251B"/>
    <w:rsid w:val="00D42A34"/>
    <w:rsid w:val="00D42CB3"/>
    <w:rsid w:val="00D42E81"/>
    <w:rsid w:val="00D42F47"/>
    <w:rsid w:val="00D4312A"/>
    <w:rsid w:val="00D436B8"/>
    <w:rsid w:val="00D43801"/>
    <w:rsid w:val="00D4398C"/>
    <w:rsid w:val="00D439B2"/>
    <w:rsid w:val="00D43B2C"/>
    <w:rsid w:val="00D43CE5"/>
    <w:rsid w:val="00D43CE8"/>
    <w:rsid w:val="00D43FCB"/>
    <w:rsid w:val="00D4418F"/>
    <w:rsid w:val="00D4429A"/>
    <w:rsid w:val="00D444E2"/>
    <w:rsid w:val="00D4457B"/>
    <w:rsid w:val="00D4460C"/>
    <w:rsid w:val="00D4469C"/>
    <w:rsid w:val="00D447AE"/>
    <w:rsid w:val="00D449A3"/>
    <w:rsid w:val="00D44A92"/>
    <w:rsid w:val="00D44AA0"/>
    <w:rsid w:val="00D44BE2"/>
    <w:rsid w:val="00D44FF2"/>
    <w:rsid w:val="00D45112"/>
    <w:rsid w:val="00D45351"/>
    <w:rsid w:val="00D453C7"/>
    <w:rsid w:val="00D455B2"/>
    <w:rsid w:val="00D455BE"/>
    <w:rsid w:val="00D455F7"/>
    <w:rsid w:val="00D45BFA"/>
    <w:rsid w:val="00D46177"/>
    <w:rsid w:val="00D463E4"/>
    <w:rsid w:val="00D463EC"/>
    <w:rsid w:val="00D46655"/>
    <w:rsid w:val="00D466BE"/>
    <w:rsid w:val="00D46867"/>
    <w:rsid w:val="00D4698C"/>
    <w:rsid w:val="00D46A10"/>
    <w:rsid w:val="00D46AAF"/>
    <w:rsid w:val="00D46F33"/>
    <w:rsid w:val="00D473EF"/>
    <w:rsid w:val="00D4744C"/>
    <w:rsid w:val="00D47454"/>
    <w:rsid w:val="00D47477"/>
    <w:rsid w:val="00D474C7"/>
    <w:rsid w:val="00D476CD"/>
    <w:rsid w:val="00D4773B"/>
    <w:rsid w:val="00D477F0"/>
    <w:rsid w:val="00D47D94"/>
    <w:rsid w:val="00D47F2C"/>
    <w:rsid w:val="00D500E8"/>
    <w:rsid w:val="00D50363"/>
    <w:rsid w:val="00D504D8"/>
    <w:rsid w:val="00D506FE"/>
    <w:rsid w:val="00D50772"/>
    <w:rsid w:val="00D5084A"/>
    <w:rsid w:val="00D50B01"/>
    <w:rsid w:val="00D50D04"/>
    <w:rsid w:val="00D50DC5"/>
    <w:rsid w:val="00D50FC4"/>
    <w:rsid w:val="00D510A5"/>
    <w:rsid w:val="00D512E3"/>
    <w:rsid w:val="00D5148C"/>
    <w:rsid w:val="00D5148E"/>
    <w:rsid w:val="00D514CF"/>
    <w:rsid w:val="00D51652"/>
    <w:rsid w:val="00D5199A"/>
    <w:rsid w:val="00D51C12"/>
    <w:rsid w:val="00D51C63"/>
    <w:rsid w:val="00D51DA4"/>
    <w:rsid w:val="00D51DAA"/>
    <w:rsid w:val="00D51F7A"/>
    <w:rsid w:val="00D5208A"/>
    <w:rsid w:val="00D520E1"/>
    <w:rsid w:val="00D5230C"/>
    <w:rsid w:val="00D52370"/>
    <w:rsid w:val="00D5259C"/>
    <w:rsid w:val="00D52814"/>
    <w:rsid w:val="00D52818"/>
    <w:rsid w:val="00D52837"/>
    <w:rsid w:val="00D5284A"/>
    <w:rsid w:val="00D528EA"/>
    <w:rsid w:val="00D529F2"/>
    <w:rsid w:val="00D52A1A"/>
    <w:rsid w:val="00D52B72"/>
    <w:rsid w:val="00D52C50"/>
    <w:rsid w:val="00D52D8B"/>
    <w:rsid w:val="00D52E20"/>
    <w:rsid w:val="00D52FB3"/>
    <w:rsid w:val="00D531D5"/>
    <w:rsid w:val="00D5371B"/>
    <w:rsid w:val="00D53948"/>
    <w:rsid w:val="00D53B8F"/>
    <w:rsid w:val="00D53EA5"/>
    <w:rsid w:val="00D53FEE"/>
    <w:rsid w:val="00D53FFC"/>
    <w:rsid w:val="00D54187"/>
    <w:rsid w:val="00D541A9"/>
    <w:rsid w:val="00D54218"/>
    <w:rsid w:val="00D5441F"/>
    <w:rsid w:val="00D544AA"/>
    <w:rsid w:val="00D54516"/>
    <w:rsid w:val="00D545BB"/>
    <w:rsid w:val="00D547D9"/>
    <w:rsid w:val="00D54BE3"/>
    <w:rsid w:val="00D54C19"/>
    <w:rsid w:val="00D54D70"/>
    <w:rsid w:val="00D54E5A"/>
    <w:rsid w:val="00D54FFB"/>
    <w:rsid w:val="00D55047"/>
    <w:rsid w:val="00D551D3"/>
    <w:rsid w:val="00D552B3"/>
    <w:rsid w:val="00D552F9"/>
    <w:rsid w:val="00D55324"/>
    <w:rsid w:val="00D55488"/>
    <w:rsid w:val="00D554BE"/>
    <w:rsid w:val="00D55576"/>
    <w:rsid w:val="00D55D23"/>
    <w:rsid w:val="00D55EFE"/>
    <w:rsid w:val="00D55F42"/>
    <w:rsid w:val="00D56113"/>
    <w:rsid w:val="00D56207"/>
    <w:rsid w:val="00D5628E"/>
    <w:rsid w:val="00D564CD"/>
    <w:rsid w:val="00D566E2"/>
    <w:rsid w:val="00D56766"/>
    <w:rsid w:val="00D56A03"/>
    <w:rsid w:val="00D56CC0"/>
    <w:rsid w:val="00D56CCF"/>
    <w:rsid w:val="00D56D24"/>
    <w:rsid w:val="00D576AE"/>
    <w:rsid w:val="00D5783E"/>
    <w:rsid w:val="00D57B0C"/>
    <w:rsid w:val="00D57B9B"/>
    <w:rsid w:val="00D57CCB"/>
    <w:rsid w:val="00D57CFF"/>
    <w:rsid w:val="00D57D76"/>
    <w:rsid w:val="00D57DCD"/>
    <w:rsid w:val="00D57EFC"/>
    <w:rsid w:val="00D57F02"/>
    <w:rsid w:val="00D6039F"/>
    <w:rsid w:val="00D6056F"/>
    <w:rsid w:val="00D60670"/>
    <w:rsid w:val="00D608E8"/>
    <w:rsid w:val="00D60A1B"/>
    <w:rsid w:val="00D60C4C"/>
    <w:rsid w:val="00D60D6C"/>
    <w:rsid w:val="00D60E04"/>
    <w:rsid w:val="00D60EE4"/>
    <w:rsid w:val="00D60F88"/>
    <w:rsid w:val="00D61203"/>
    <w:rsid w:val="00D61205"/>
    <w:rsid w:val="00D614D7"/>
    <w:rsid w:val="00D61532"/>
    <w:rsid w:val="00D6158A"/>
    <w:rsid w:val="00D61615"/>
    <w:rsid w:val="00D616A0"/>
    <w:rsid w:val="00D616D7"/>
    <w:rsid w:val="00D6175C"/>
    <w:rsid w:val="00D61791"/>
    <w:rsid w:val="00D61890"/>
    <w:rsid w:val="00D618F1"/>
    <w:rsid w:val="00D61CA1"/>
    <w:rsid w:val="00D61E5A"/>
    <w:rsid w:val="00D61ECE"/>
    <w:rsid w:val="00D620A2"/>
    <w:rsid w:val="00D621ED"/>
    <w:rsid w:val="00D6225A"/>
    <w:rsid w:val="00D622BF"/>
    <w:rsid w:val="00D622D7"/>
    <w:rsid w:val="00D623A3"/>
    <w:rsid w:val="00D623B6"/>
    <w:rsid w:val="00D62932"/>
    <w:rsid w:val="00D62BDF"/>
    <w:rsid w:val="00D62CD9"/>
    <w:rsid w:val="00D62D9B"/>
    <w:rsid w:val="00D62E40"/>
    <w:rsid w:val="00D6312E"/>
    <w:rsid w:val="00D632CE"/>
    <w:rsid w:val="00D63796"/>
    <w:rsid w:val="00D63971"/>
    <w:rsid w:val="00D63B5D"/>
    <w:rsid w:val="00D63B95"/>
    <w:rsid w:val="00D63D02"/>
    <w:rsid w:val="00D63D90"/>
    <w:rsid w:val="00D6413F"/>
    <w:rsid w:val="00D64151"/>
    <w:rsid w:val="00D64156"/>
    <w:rsid w:val="00D643A0"/>
    <w:rsid w:val="00D644C0"/>
    <w:rsid w:val="00D64714"/>
    <w:rsid w:val="00D64719"/>
    <w:rsid w:val="00D649D6"/>
    <w:rsid w:val="00D64A0B"/>
    <w:rsid w:val="00D64BC8"/>
    <w:rsid w:val="00D64BFF"/>
    <w:rsid w:val="00D64C65"/>
    <w:rsid w:val="00D64D5A"/>
    <w:rsid w:val="00D64E3F"/>
    <w:rsid w:val="00D64FDF"/>
    <w:rsid w:val="00D650C2"/>
    <w:rsid w:val="00D6515E"/>
    <w:rsid w:val="00D65691"/>
    <w:rsid w:val="00D6570A"/>
    <w:rsid w:val="00D65882"/>
    <w:rsid w:val="00D65A32"/>
    <w:rsid w:val="00D65AD0"/>
    <w:rsid w:val="00D65C0C"/>
    <w:rsid w:val="00D65CA9"/>
    <w:rsid w:val="00D66059"/>
    <w:rsid w:val="00D66074"/>
    <w:rsid w:val="00D66250"/>
    <w:rsid w:val="00D66598"/>
    <w:rsid w:val="00D66835"/>
    <w:rsid w:val="00D66896"/>
    <w:rsid w:val="00D66FB0"/>
    <w:rsid w:val="00D6707F"/>
    <w:rsid w:val="00D67130"/>
    <w:rsid w:val="00D675DA"/>
    <w:rsid w:val="00D676A5"/>
    <w:rsid w:val="00D6778E"/>
    <w:rsid w:val="00D67841"/>
    <w:rsid w:val="00D67B36"/>
    <w:rsid w:val="00D67BB4"/>
    <w:rsid w:val="00D70168"/>
    <w:rsid w:val="00D70310"/>
    <w:rsid w:val="00D703E0"/>
    <w:rsid w:val="00D7053E"/>
    <w:rsid w:val="00D7089C"/>
    <w:rsid w:val="00D70989"/>
    <w:rsid w:val="00D70B7D"/>
    <w:rsid w:val="00D70DE1"/>
    <w:rsid w:val="00D70EFB"/>
    <w:rsid w:val="00D70F46"/>
    <w:rsid w:val="00D70FC4"/>
    <w:rsid w:val="00D710A1"/>
    <w:rsid w:val="00D7130A"/>
    <w:rsid w:val="00D713E7"/>
    <w:rsid w:val="00D71520"/>
    <w:rsid w:val="00D7158D"/>
    <w:rsid w:val="00D7159B"/>
    <w:rsid w:val="00D71636"/>
    <w:rsid w:val="00D71A16"/>
    <w:rsid w:val="00D71AF6"/>
    <w:rsid w:val="00D71C2D"/>
    <w:rsid w:val="00D71CCE"/>
    <w:rsid w:val="00D72424"/>
    <w:rsid w:val="00D72681"/>
    <w:rsid w:val="00D72714"/>
    <w:rsid w:val="00D72911"/>
    <w:rsid w:val="00D729E6"/>
    <w:rsid w:val="00D72A3D"/>
    <w:rsid w:val="00D72E51"/>
    <w:rsid w:val="00D72F1F"/>
    <w:rsid w:val="00D72FBA"/>
    <w:rsid w:val="00D73172"/>
    <w:rsid w:val="00D731B2"/>
    <w:rsid w:val="00D731BF"/>
    <w:rsid w:val="00D7344F"/>
    <w:rsid w:val="00D734FD"/>
    <w:rsid w:val="00D73B65"/>
    <w:rsid w:val="00D73BD7"/>
    <w:rsid w:val="00D73D98"/>
    <w:rsid w:val="00D73DAB"/>
    <w:rsid w:val="00D73E34"/>
    <w:rsid w:val="00D73E48"/>
    <w:rsid w:val="00D73F54"/>
    <w:rsid w:val="00D74075"/>
    <w:rsid w:val="00D745E6"/>
    <w:rsid w:val="00D74708"/>
    <w:rsid w:val="00D74861"/>
    <w:rsid w:val="00D74911"/>
    <w:rsid w:val="00D74B53"/>
    <w:rsid w:val="00D74B9C"/>
    <w:rsid w:val="00D74C27"/>
    <w:rsid w:val="00D74E78"/>
    <w:rsid w:val="00D751B1"/>
    <w:rsid w:val="00D753BC"/>
    <w:rsid w:val="00D753E1"/>
    <w:rsid w:val="00D7583C"/>
    <w:rsid w:val="00D75890"/>
    <w:rsid w:val="00D75C1F"/>
    <w:rsid w:val="00D75D99"/>
    <w:rsid w:val="00D75FAB"/>
    <w:rsid w:val="00D7604D"/>
    <w:rsid w:val="00D76100"/>
    <w:rsid w:val="00D7659C"/>
    <w:rsid w:val="00D767B7"/>
    <w:rsid w:val="00D7687B"/>
    <w:rsid w:val="00D76A61"/>
    <w:rsid w:val="00D76C52"/>
    <w:rsid w:val="00D76F10"/>
    <w:rsid w:val="00D76F2D"/>
    <w:rsid w:val="00D770A3"/>
    <w:rsid w:val="00D77304"/>
    <w:rsid w:val="00D77383"/>
    <w:rsid w:val="00D77469"/>
    <w:rsid w:val="00D7753F"/>
    <w:rsid w:val="00D7755D"/>
    <w:rsid w:val="00D776A7"/>
    <w:rsid w:val="00D776C1"/>
    <w:rsid w:val="00D778E7"/>
    <w:rsid w:val="00D77DD5"/>
    <w:rsid w:val="00D77E88"/>
    <w:rsid w:val="00D77FCB"/>
    <w:rsid w:val="00D80141"/>
    <w:rsid w:val="00D801C2"/>
    <w:rsid w:val="00D803F4"/>
    <w:rsid w:val="00D805D2"/>
    <w:rsid w:val="00D80695"/>
    <w:rsid w:val="00D80718"/>
    <w:rsid w:val="00D80871"/>
    <w:rsid w:val="00D80881"/>
    <w:rsid w:val="00D80A2E"/>
    <w:rsid w:val="00D80B9F"/>
    <w:rsid w:val="00D80BE9"/>
    <w:rsid w:val="00D81200"/>
    <w:rsid w:val="00D814B1"/>
    <w:rsid w:val="00D81587"/>
    <w:rsid w:val="00D81667"/>
    <w:rsid w:val="00D81905"/>
    <w:rsid w:val="00D8192B"/>
    <w:rsid w:val="00D81948"/>
    <w:rsid w:val="00D819E6"/>
    <w:rsid w:val="00D81A07"/>
    <w:rsid w:val="00D81A45"/>
    <w:rsid w:val="00D81DC8"/>
    <w:rsid w:val="00D8207F"/>
    <w:rsid w:val="00D8237B"/>
    <w:rsid w:val="00D823C0"/>
    <w:rsid w:val="00D8274E"/>
    <w:rsid w:val="00D82821"/>
    <w:rsid w:val="00D828A6"/>
    <w:rsid w:val="00D82960"/>
    <w:rsid w:val="00D829E6"/>
    <w:rsid w:val="00D82BBC"/>
    <w:rsid w:val="00D83073"/>
    <w:rsid w:val="00D8336B"/>
    <w:rsid w:val="00D83382"/>
    <w:rsid w:val="00D8370E"/>
    <w:rsid w:val="00D83C7E"/>
    <w:rsid w:val="00D83C9B"/>
    <w:rsid w:val="00D83E4B"/>
    <w:rsid w:val="00D83FBB"/>
    <w:rsid w:val="00D84374"/>
    <w:rsid w:val="00D84589"/>
    <w:rsid w:val="00D845E9"/>
    <w:rsid w:val="00D84688"/>
    <w:rsid w:val="00D8478C"/>
    <w:rsid w:val="00D84803"/>
    <w:rsid w:val="00D8484F"/>
    <w:rsid w:val="00D849CE"/>
    <w:rsid w:val="00D84AD2"/>
    <w:rsid w:val="00D84B40"/>
    <w:rsid w:val="00D84C65"/>
    <w:rsid w:val="00D85041"/>
    <w:rsid w:val="00D8559B"/>
    <w:rsid w:val="00D855FA"/>
    <w:rsid w:val="00D8572C"/>
    <w:rsid w:val="00D8584E"/>
    <w:rsid w:val="00D859A6"/>
    <w:rsid w:val="00D85AB1"/>
    <w:rsid w:val="00D8601E"/>
    <w:rsid w:val="00D8606B"/>
    <w:rsid w:val="00D86173"/>
    <w:rsid w:val="00D861CE"/>
    <w:rsid w:val="00D864CB"/>
    <w:rsid w:val="00D86710"/>
    <w:rsid w:val="00D86A08"/>
    <w:rsid w:val="00D86A21"/>
    <w:rsid w:val="00D86FA8"/>
    <w:rsid w:val="00D87128"/>
    <w:rsid w:val="00D8724D"/>
    <w:rsid w:val="00D8731A"/>
    <w:rsid w:val="00D87577"/>
    <w:rsid w:val="00D8791D"/>
    <w:rsid w:val="00D87934"/>
    <w:rsid w:val="00D879E6"/>
    <w:rsid w:val="00D879F7"/>
    <w:rsid w:val="00D87DDA"/>
    <w:rsid w:val="00D87F0F"/>
    <w:rsid w:val="00D9096D"/>
    <w:rsid w:val="00D909AB"/>
    <w:rsid w:val="00D90AC4"/>
    <w:rsid w:val="00D90F0E"/>
    <w:rsid w:val="00D9105B"/>
    <w:rsid w:val="00D910BD"/>
    <w:rsid w:val="00D91500"/>
    <w:rsid w:val="00D915C0"/>
    <w:rsid w:val="00D916E1"/>
    <w:rsid w:val="00D91711"/>
    <w:rsid w:val="00D917CB"/>
    <w:rsid w:val="00D91828"/>
    <w:rsid w:val="00D918F5"/>
    <w:rsid w:val="00D91CCB"/>
    <w:rsid w:val="00D91EC6"/>
    <w:rsid w:val="00D91F5C"/>
    <w:rsid w:val="00D9206B"/>
    <w:rsid w:val="00D921DE"/>
    <w:rsid w:val="00D921F6"/>
    <w:rsid w:val="00D921FE"/>
    <w:rsid w:val="00D92320"/>
    <w:rsid w:val="00D923A1"/>
    <w:rsid w:val="00D9245D"/>
    <w:rsid w:val="00D92491"/>
    <w:rsid w:val="00D925F8"/>
    <w:rsid w:val="00D92710"/>
    <w:rsid w:val="00D92766"/>
    <w:rsid w:val="00D927D2"/>
    <w:rsid w:val="00D92950"/>
    <w:rsid w:val="00D92A19"/>
    <w:rsid w:val="00D92B0D"/>
    <w:rsid w:val="00D92D79"/>
    <w:rsid w:val="00D92E12"/>
    <w:rsid w:val="00D92F25"/>
    <w:rsid w:val="00D93001"/>
    <w:rsid w:val="00D931F3"/>
    <w:rsid w:val="00D93314"/>
    <w:rsid w:val="00D93337"/>
    <w:rsid w:val="00D933BA"/>
    <w:rsid w:val="00D93494"/>
    <w:rsid w:val="00D93C40"/>
    <w:rsid w:val="00D93E52"/>
    <w:rsid w:val="00D93E6D"/>
    <w:rsid w:val="00D93EF3"/>
    <w:rsid w:val="00D94216"/>
    <w:rsid w:val="00D94673"/>
    <w:rsid w:val="00D946C9"/>
    <w:rsid w:val="00D947E2"/>
    <w:rsid w:val="00D94DE0"/>
    <w:rsid w:val="00D94FE9"/>
    <w:rsid w:val="00D951A1"/>
    <w:rsid w:val="00D952ED"/>
    <w:rsid w:val="00D953F0"/>
    <w:rsid w:val="00D954E1"/>
    <w:rsid w:val="00D95697"/>
    <w:rsid w:val="00D95872"/>
    <w:rsid w:val="00D95CC4"/>
    <w:rsid w:val="00D95D60"/>
    <w:rsid w:val="00D95D98"/>
    <w:rsid w:val="00D96006"/>
    <w:rsid w:val="00D962F7"/>
    <w:rsid w:val="00D96426"/>
    <w:rsid w:val="00D9654E"/>
    <w:rsid w:val="00D965FE"/>
    <w:rsid w:val="00D96649"/>
    <w:rsid w:val="00D9675A"/>
    <w:rsid w:val="00D967FD"/>
    <w:rsid w:val="00D96A64"/>
    <w:rsid w:val="00D96A73"/>
    <w:rsid w:val="00D96DEF"/>
    <w:rsid w:val="00D9713C"/>
    <w:rsid w:val="00D9731F"/>
    <w:rsid w:val="00D9765B"/>
    <w:rsid w:val="00D976C6"/>
    <w:rsid w:val="00D97747"/>
    <w:rsid w:val="00D978A6"/>
    <w:rsid w:val="00D97A5C"/>
    <w:rsid w:val="00D97B2D"/>
    <w:rsid w:val="00D97B6C"/>
    <w:rsid w:val="00D97EF7"/>
    <w:rsid w:val="00DA047B"/>
    <w:rsid w:val="00DA0881"/>
    <w:rsid w:val="00DA0891"/>
    <w:rsid w:val="00DA0AC4"/>
    <w:rsid w:val="00DA0AD9"/>
    <w:rsid w:val="00DA0B4C"/>
    <w:rsid w:val="00DA0DB9"/>
    <w:rsid w:val="00DA0F4F"/>
    <w:rsid w:val="00DA0FF8"/>
    <w:rsid w:val="00DA13AF"/>
    <w:rsid w:val="00DA1640"/>
    <w:rsid w:val="00DA166D"/>
    <w:rsid w:val="00DA1994"/>
    <w:rsid w:val="00DA1A28"/>
    <w:rsid w:val="00DA1E7C"/>
    <w:rsid w:val="00DA2428"/>
    <w:rsid w:val="00DA2752"/>
    <w:rsid w:val="00DA2CC5"/>
    <w:rsid w:val="00DA2D1B"/>
    <w:rsid w:val="00DA3007"/>
    <w:rsid w:val="00DA3018"/>
    <w:rsid w:val="00DA3599"/>
    <w:rsid w:val="00DA35F0"/>
    <w:rsid w:val="00DA377E"/>
    <w:rsid w:val="00DA3993"/>
    <w:rsid w:val="00DA3D94"/>
    <w:rsid w:val="00DA3F35"/>
    <w:rsid w:val="00DA404C"/>
    <w:rsid w:val="00DA4091"/>
    <w:rsid w:val="00DA4298"/>
    <w:rsid w:val="00DA42F1"/>
    <w:rsid w:val="00DA431A"/>
    <w:rsid w:val="00DA432C"/>
    <w:rsid w:val="00DA43EE"/>
    <w:rsid w:val="00DA440E"/>
    <w:rsid w:val="00DA4590"/>
    <w:rsid w:val="00DA4601"/>
    <w:rsid w:val="00DA4A4B"/>
    <w:rsid w:val="00DA5111"/>
    <w:rsid w:val="00DA525D"/>
    <w:rsid w:val="00DA57C4"/>
    <w:rsid w:val="00DA585B"/>
    <w:rsid w:val="00DA58A1"/>
    <w:rsid w:val="00DA5C53"/>
    <w:rsid w:val="00DA5D8B"/>
    <w:rsid w:val="00DA5DEA"/>
    <w:rsid w:val="00DA5E46"/>
    <w:rsid w:val="00DA5E49"/>
    <w:rsid w:val="00DA5FC5"/>
    <w:rsid w:val="00DA6067"/>
    <w:rsid w:val="00DA60C2"/>
    <w:rsid w:val="00DA6122"/>
    <w:rsid w:val="00DA63B4"/>
    <w:rsid w:val="00DA63EA"/>
    <w:rsid w:val="00DA651F"/>
    <w:rsid w:val="00DA658C"/>
    <w:rsid w:val="00DA66DF"/>
    <w:rsid w:val="00DA672F"/>
    <w:rsid w:val="00DA67DE"/>
    <w:rsid w:val="00DA6A32"/>
    <w:rsid w:val="00DA6A47"/>
    <w:rsid w:val="00DA6B33"/>
    <w:rsid w:val="00DA6B5D"/>
    <w:rsid w:val="00DA6CF6"/>
    <w:rsid w:val="00DA6E6C"/>
    <w:rsid w:val="00DA6E73"/>
    <w:rsid w:val="00DA6EAD"/>
    <w:rsid w:val="00DA7716"/>
    <w:rsid w:val="00DA77B0"/>
    <w:rsid w:val="00DA7854"/>
    <w:rsid w:val="00DA796C"/>
    <w:rsid w:val="00DA79A1"/>
    <w:rsid w:val="00DA7A00"/>
    <w:rsid w:val="00DA7A9E"/>
    <w:rsid w:val="00DA7D53"/>
    <w:rsid w:val="00DA7D63"/>
    <w:rsid w:val="00DB0282"/>
    <w:rsid w:val="00DB0405"/>
    <w:rsid w:val="00DB0881"/>
    <w:rsid w:val="00DB09C3"/>
    <w:rsid w:val="00DB0A0C"/>
    <w:rsid w:val="00DB0A6A"/>
    <w:rsid w:val="00DB0E7A"/>
    <w:rsid w:val="00DB0EA6"/>
    <w:rsid w:val="00DB0F44"/>
    <w:rsid w:val="00DB1167"/>
    <w:rsid w:val="00DB1428"/>
    <w:rsid w:val="00DB146D"/>
    <w:rsid w:val="00DB17A4"/>
    <w:rsid w:val="00DB17E8"/>
    <w:rsid w:val="00DB1A0A"/>
    <w:rsid w:val="00DB1A9C"/>
    <w:rsid w:val="00DB1B22"/>
    <w:rsid w:val="00DB1B7D"/>
    <w:rsid w:val="00DB20EA"/>
    <w:rsid w:val="00DB2387"/>
    <w:rsid w:val="00DB2760"/>
    <w:rsid w:val="00DB2796"/>
    <w:rsid w:val="00DB29EF"/>
    <w:rsid w:val="00DB30C0"/>
    <w:rsid w:val="00DB312F"/>
    <w:rsid w:val="00DB331E"/>
    <w:rsid w:val="00DB35A9"/>
    <w:rsid w:val="00DB36C3"/>
    <w:rsid w:val="00DB375F"/>
    <w:rsid w:val="00DB37C3"/>
    <w:rsid w:val="00DB3974"/>
    <w:rsid w:val="00DB3F17"/>
    <w:rsid w:val="00DB41D5"/>
    <w:rsid w:val="00DB4360"/>
    <w:rsid w:val="00DB43C4"/>
    <w:rsid w:val="00DB43CB"/>
    <w:rsid w:val="00DB4492"/>
    <w:rsid w:val="00DB44CF"/>
    <w:rsid w:val="00DB460F"/>
    <w:rsid w:val="00DB4675"/>
    <w:rsid w:val="00DB4730"/>
    <w:rsid w:val="00DB5056"/>
    <w:rsid w:val="00DB5354"/>
    <w:rsid w:val="00DB53A7"/>
    <w:rsid w:val="00DB5402"/>
    <w:rsid w:val="00DB5635"/>
    <w:rsid w:val="00DB566D"/>
    <w:rsid w:val="00DB58D0"/>
    <w:rsid w:val="00DB5ABD"/>
    <w:rsid w:val="00DB5C38"/>
    <w:rsid w:val="00DB5C4E"/>
    <w:rsid w:val="00DB607C"/>
    <w:rsid w:val="00DB60CF"/>
    <w:rsid w:val="00DB6117"/>
    <w:rsid w:val="00DB62DB"/>
    <w:rsid w:val="00DB6310"/>
    <w:rsid w:val="00DB632B"/>
    <w:rsid w:val="00DB6623"/>
    <w:rsid w:val="00DB68EA"/>
    <w:rsid w:val="00DB69DB"/>
    <w:rsid w:val="00DB6B69"/>
    <w:rsid w:val="00DB6C39"/>
    <w:rsid w:val="00DB6E62"/>
    <w:rsid w:val="00DB6ECC"/>
    <w:rsid w:val="00DB6F31"/>
    <w:rsid w:val="00DB6FA4"/>
    <w:rsid w:val="00DB756E"/>
    <w:rsid w:val="00DB7792"/>
    <w:rsid w:val="00DB77DA"/>
    <w:rsid w:val="00DB78D3"/>
    <w:rsid w:val="00DB7996"/>
    <w:rsid w:val="00DB79B6"/>
    <w:rsid w:val="00DB7A4C"/>
    <w:rsid w:val="00DB7A9B"/>
    <w:rsid w:val="00DB7AB1"/>
    <w:rsid w:val="00DB7AEA"/>
    <w:rsid w:val="00DB7BD3"/>
    <w:rsid w:val="00DB7BF8"/>
    <w:rsid w:val="00DB7D20"/>
    <w:rsid w:val="00DB7DE7"/>
    <w:rsid w:val="00DB7F20"/>
    <w:rsid w:val="00DB7FC5"/>
    <w:rsid w:val="00DC010D"/>
    <w:rsid w:val="00DC0126"/>
    <w:rsid w:val="00DC0384"/>
    <w:rsid w:val="00DC05E0"/>
    <w:rsid w:val="00DC0720"/>
    <w:rsid w:val="00DC0800"/>
    <w:rsid w:val="00DC08A1"/>
    <w:rsid w:val="00DC0C1D"/>
    <w:rsid w:val="00DC0E0C"/>
    <w:rsid w:val="00DC0F11"/>
    <w:rsid w:val="00DC1001"/>
    <w:rsid w:val="00DC10BB"/>
    <w:rsid w:val="00DC163B"/>
    <w:rsid w:val="00DC1723"/>
    <w:rsid w:val="00DC190A"/>
    <w:rsid w:val="00DC199E"/>
    <w:rsid w:val="00DC1B4E"/>
    <w:rsid w:val="00DC1C8E"/>
    <w:rsid w:val="00DC1D06"/>
    <w:rsid w:val="00DC1D66"/>
    <w:rsid w:val="00DC1D6D"/>
    <w:rsid w:val="00DC1E9F"/>
    <w:rsid w:val="00DC1EBC"/>
    <w:rsid w:val="00DC2130"/>
    <w:rsid w:val="00DC22E1"/>
    <w:rsid w:val="00DC239F"/>
    <w:rsid w:val="00DC268B"/>
    <w:rsid w:val="00DC2751"/>
    <w:rsid w:val="00DC2E3F"/>
    <w:rsid w:val="00DC2E6D"/>
    <w:rsid w:val="00DC2F26"/>
    <w:rsid w:val="00DC34BD"/>
    <w:rsid w:val="00DC34D0"/>
    <w:rsid w:val="00DC397C"/>
    <w:rsid w:val="00DC3993"/>
    <w:rsid w:val="00DC3AB0"/>
    <w:rsid w:val="00DC4052"/>
    <w:rsid w:val="00DC41A4"/>
    <w:rsid w:val="00DC44CA"/>
    <w:rsid w:val="00DC4644"/>
    <w:rsid w:val="00DC4843"/>
    <w:rsid w:val="00DC48CD"/>
    <w:rsid w:val="00DC4929"/>
    <w:rsid w:val="00DC49C3"/>
    <w:rsid w:val="00DC49E5"/>
    <w:rsid w:val="00DC4BC0"/>
    <w:rsid w:val="00DC51C5"/>
    <w:rsid w:val="00DC526B"/>
    <w:rsid w:val="00DC5399"/>
    <w:rsid w:val="00DC5746"/>
    <w:rsid w:val="00DC5A3A"/>
    <w:rsid w:val="00DC5B18"/>
    <w:rsid w:val="00DC5BEA"/>
    <w:rsid w:val="00DC6044"/>
    <w:rsid w:val="00DC6057"/>
    <w:rsid w:val="00DC60FF"/>
    <w:rsid w:val="00DC640C"/>
    <w:rsid w:val="00DC6440"/>
    <w:rsid w:val="00DC6575"/>
    <w:rsid w:val="00DC65B8"/>
    <w:rsid w:val="00DC6629"/>
    <w:rsid w:val="00DC67AA"/>
    <w:rsid w:val="00DC6ACC"/>
    <w:rsid w:val="00DC6B6F"/>
    <w:rsid w:val="00DC6CFE"/>
    <w:rsid w:val="00DC6D09"/>
    <w:rsid w:val="00DC6E83"/>
    <w:rsid w:val="00DC6ECD"/>
    <w:rsid w:val="00DC7038"/>
    <w:rsid w:val="00DC7100"/>
    <w:rsid w:val="00DC7513"/>
    <w:rsid w:val="00DC7516"/>
    <w:rsid w:val="00DC7578"/>
    <w:rsid w:val="00DC7616"/>
    <w:rsid w:val="00DC7840"/>
    <w:rsid w:val="00DC7C70"/>
    <w:rsid w:val="00DC7CD5"/>
    <w:rsid w:val="00DC7F44"/>
    <w:rsid w:val="00DD03EA"/>
    <w:rsid w:val="00DD05AD"/>
    <w:rsid w:val="00DD07A5"/>
    <w:rsid w:val="00DD08FA"/>
    <w:rsid w:val="00DD0901"/>
    <w:rsid w:val="00DD0920"/>
    <w:rsid w:val="00DD10A7"/>
    <w:rsid w:val="00DD14C8"/>
    <w:rsid w:val="00DD159D"/>
    <w:rsid w:val="00DD15A6"/>
    <w:rsid w:val="00DD17F8"/>
    <w:rsid w:val="00DD1A31"/>
    <w:rsid w:val="00DD1DA3"/>
    <w:rsid w:val="00DD1E85"/>
    <w:rsid w:val="00DD1FAE"/>
    <w:rsid w:val="00DD237C"/>
    <w:rsid w:val="00DD25C4"/>
    <w:rsid w:val="00DD2704"/>
    <w:rsid w:val="00DD27D4"/>
    <w:rsid w:val="00DD2A06"/>
    <w:rsid w:val="00DD2A53"/>
    <w:rsid w:val="00DD2B5E"/>
    <w:rsid w:val="00DD2C80"/>
    <w:rsid w:val="00DD3014"/>
    <w:rsid w:val="00DD3099"/>
    <w:rsid w:val="00DD31F2"/>
    <w:rsid w:val="00DD351E"/>
    <w:rsid w:val="00DD35F1"/>
    <w:rsid w:val="00DD365C"/>
    <w:rsid w:val="00DD36B9"/>
    <w:rsid w:val="00DD380B"/>
    <w:rsid w:val="00DD392F"/>
    <w:rsid w:val="00DD3B95"/>
    <w:rsid w:val="00DD3C49"/>
    <w:rsid w:val="00DD3C6F"/>
    <w:rsid w:val="00DD3CB2"/>
    <w:rsid w:val="00DD4192"/>
    <w:rsid w:val="00DD4245"/>
    <w:rsid w:val="00DD4414"/>
    <w:rsid w:val="00DD4544"/>
    <w:rsid w:val="00DD46B6"/>
    <w:rsid w:val="00DD4BB5"/>
    <w:rsid w:val="00DD4CBC"/>
    <w:rsid w:val="00DD4D5A"/>
    <w:rsid w:val="00DD55EC"/>
    <w:rsid w:val="00DD58FE"/>
    <w:rsid w:val="00DD5AA7"/>
    <w:rsid w:val="00DD5BDA"/>
    <w:rsid w:val="00DD5DB2"/>
    <w:rsid w:val="00DD5ED8"/>
    <w:rsid w:val="00DD60FB"/>
    <w:rsid w:val="00DD6110"/>
    <w:rsid w:val="00DD616E"/>
    <w:rsid w:val="00DD62A9"/>
    <w:rsid w:val="00DD6477"/>
    <w:rsid w:val="00DD673C"/>
    <w:rsid w:val="00DD6C95"/>
    <w:rsid w:val="00DD6D27"/>
    <w:rsid w:val="00DD6ECF"/>
    <w:rsid w:val="00DD6FB5"/>
    <w:rsid w:val="00DD70B1"/>
    <w:rsid w:val="00DD71A5"/>
    <w:rsid w:val="00DD7242"/>
    <w:rsid w:val="00DD7317"/>
    <w:rsid w:val="00DD7433"/>
    <w:rsid w:val="00DD75F7"/>
    <w:rsid w:val="00DD76B1"/>
    <w:rsid w:val="00DD778E"/>
    <w:rsid w:val="00DD77B6"/>
    <w:rsid w:val="00DD789A"/>
    <w:rsid w:val="00DD789E"/>
    <w:rsid w:val="00DD7E5C"/>
    <w:rsid w:val="00DD7E65"/>
    <w:rsid w:val="00DD7EE2"/>
    <w:rsid w:val="00DD7FEE"/>
    <w:rsid w:val="00DE00B3"/>
    <w:rsid w:val="00DE00C1"/>
    <w:rsid w:val="00DE05C8"/>
    <w:rsid w:val="00DE0613"/>
    <w:rsid w:val="00DE0811"/>
    <w:rsid w:val="00DE0990"/>
    <w:rsid w:val="00DE0994"/>
    <w:rsid w:val="00DE0BD8"/>
    <w:rsid w:val="00DE0BED"/>
    <w:rsid w:val="00DE0F48"/>
    <w:rsid w:val="00DE1075"/>
    <w:rsid w:val="00DE114D"/>
    <w:rsid w:val="00DE15D9"/>
    <w:rsid w:val="00DE1724"/>
    <w:rsid w:val="00DE1791"/>
    <w:rsid w:val="00DE1828"/>
    <w:rsid w:val="00DE1A5D"/>
    <w:rsid w:val="00DE1ABA"/>
    <w:rsid w:val="00DE1B03"/>
    <w:rsid w:val="00DE1E15"/>
    <w:rsid w:val="00DE1E43"/>
    <w:rsid w:val="00DE1E95"/>
    <w:rsid w:val="00DE203C"/>
    <w:rsid w:val="00DE20D4"/>
    <w:rsid w:val="00DE248D"/>
    <w:rsid w:val="00DE2577"/>
    <w:rsid w:val="00DE2643"/>
    <w:rsid w:val="00DE278B"/>
    <w:rsid w:val="00DE2F65"/>
    <w:rsid w:val="00DE379F"/>
    <w:rsid w:val="00DE37F4"/>
    <w:rsid w:val="00DE38D6"/>
    <w:rsid w:val="00DE3A06"/>
    <w:rsid w:val="00DE3CC2"/>
    <w:rsid w:val="00DE3CF4"/>
    <w:rsid w:val="00DE3F19"/>
    <w:rsid w:val="00DE3F58"/>
    <w:rsid w:val="00DE406D"/>
    <w:rsid w:val="00DE40C9"/>
    <w:rsid w:val="00DE4104"/>
    <w:rsid w:val="00DE41BF"/>
    <w:rsid w:val="00DE486C"/>
    <w:rsid w:val="00DE4877"/>
    <w:rsid w:val="00DE49DB"/>
    <w:rsid w:val="00DE49F3"/>
    <w:rsid w:val="00DE4A50"/>
    <w:rsid w:val="00DE4BB6"/>
    <w:rsid w:val="00DE4D2F"/>
    <w:rsid w:val="00DE4F6F"/>
    <w:rsid w:val="00DE534F"/>
    <w:rsid w:val="00DE5496"/>
    <w:rsid w:val="00DE574F"/>
    <w:rsid w:val="00DE5781"/>
    <w:rsid w:val="00DE59B8"/>
    <w:rsid w:val="00DE5B74"/>
    <w:rsid w:val="00DE5C0A"/>
    <w:rsid w:val="00DE6064"/>
    <w:rsid w:val="00DE6145"/>
    <w:rsid w:val="00DE6962"/>
    <w:rsid w:val="00DE6A12"/>
    <w:rsid w:val="00DE6A6F"/>
    <w:rsid w:val="00DE6EB8"/>
    <w:rsid w:val="00DE6ED8"/>
    <w:rsid w:val="00DE7062"/>
    <w:rsid w:val="00DE72A5"/>
    <w:rsid w:val="00DE73A5"/>
    <w:rsid w:val="00DE74A1"/>
    <w:rsid w:val="00DE74A8"/>
    <w:rsid w:val="00DE7996"/>
    <w:rsid w:val="00DE7A40"/>
    <w:rsid w:val="00DE7E5E"/>
    <w:rsid w:val="00DE7F32"/>
    <w:rsid w:val="00DE7FAF"/>
    <w:rsid w:val="00DF04FC"/>
    <w:rsid w:val="00DF06D1"/>
    <w:rsid w:val="00DF0A53"/>
    <w:rsid w:val="00DF0C87"/>
    <w:rsid w:val="00DF1079"/>
    <w:rsid w:val="00DF128A"/>
    <w:rsid w:val="00DF12E1"/>
    <w:rsid w:val="00DF136B"/>
    <w:rsid w:val="00DF1899"/>
    <w:rsid w:val="00DF18F2"/>
    <w:rsid w:val="00DF1C49"/>
    <w:rsid w:val="00DF1C5C"/>
    <w:rsid w:val="00DF241F"/>
    <w:rsid w:val="00DF2454"/>
    <w:rsid w:val="00DF2778"/>
    <w:rsid w:val="00DF277A"/>
    <w:rsid w:val="00DF278F"/>
    <w:rsid w:val="00DF2922"/>
    <w:rsid w:val="00DF3409"/>
    <w:rsid w:val="00DF367C"/>
    <w:rsid w:val="00DF36D8"/>
    <w:rsid w:val="00DF3859"/>
    <w:rsid w:val="00DF38AB"/>
    <w:rsid w:val="00DF38AE"/>
    <w:rsid w:val="00DF39F0"/>
    <w:rsid w:val="00DF3A87"/>
    <w:rsid w:val="00DF3DC4"/>
    <w:rsid w:val="00DF44F2"/>
    <w:rsid w:val="00DF4584"/>
    <w:rsid w:val="00DF4599"/>
    <w:rsid w:val="00DF46D2"/>
    <w:rsid w:val="00DF470F"/>
    <w:rsid w:val="00DF4735"/>
    <w:rsid w:val="00DF493E"/>
    <w:rsid w:val="00DF4DC1"/>
    <w:rsid w:val="00DF4E8E"/>
    <w:rsid w:val="00DF4E9F"/>
    <w:rsid w:val="00DF4EAF"/>
    <w:rsid w:val="00DF500A"/>
    <w:rsid w:val="00DF51B5"/>
    <w:rsid w:val="00DF51CA"/>
    <w:rsid w:val="00DF53B7"/>
    <w:rsid w:val="00DF57E2"/>
    <w:rsid w:val="00DF58B8"/>
    <w:rsid w:val="00DF5D72"/>
    <w:rsid w:val="00DF5F60"/>
    <w:rsid w:val="00DF61C5"/>
    <w:rsid w:val="00DF63BC"/>
    <w:rsid w:val="00DF6460"/>
    <w:rsid w:val="00DF6502"/>
    <w:rsid w:val="00DF6609"/>
    <w:rsid w:val="00DF6694"/>
    <w:rsid w:val="00DF67A6"/>
    <w:rsid w:val="00DF67C3"/>
    <w:rsid w:val="00DF69B6"/>
    <w:rsid w:val="00DF6CE8"/>
    <w:rsid w:val="00DF6DAF"/>
    <w:rsid w:val="00DF6ED4"/>
    <w:rsid w:val="00DF72C8"/>
    <w:rsid w:val="00DF741E"/>
    <w:rsid w:val="00DF7624"/>
    <w:rsid w:val="00DF7740"/>
    <w:rsid w:val="00DF796B"/>
    <w:rsid w:val="00DF7B8B"/>
    <w:rsid w:val="00DF7CFD"/>
    <w:rsid w:val="00DF7DC8"/>
    <w:rsid w:val="00E00028"/>
    <w:rsid w:val="00E0007A"/>
    <w:rsid w:val="00E000E5"/>
    <w:rsid w:val="00E0013E"/>
    <w:rsid w:val="00E00279"/>
    <w:rsid w:val="00E002F5"/>
    <w:rsid w:val="00E00321"/>
    <w:rsid w:val="00E003EA"/>
    <w:rsid w:val="00E00A73"/>
    <w:rsid w:val="00E00D29"/>
    <w:rsid w:val="00E00DBB"/>
    <w:rsid w:val="00E00E05"/>
    <w:rsid w:val="00E0109B"/>
    <w:rsid w:val="00E0134B"/>
    <w:rsid w:val="00E016D6"/>
    <w:rsid w:val="00E0177F"/>
    <w:rsid w:val="00E0186E"/>
    <w:rsid w:val="00E018B6"/>
    <w:rsid w:val="00E01C85"/>
    <w:rsid w:val="00E02175"/>
    <w:rsid w:val="00E02456"/>
    <w:rsid w:val="00E02566"/>
    <w:rsid w:val="00E027E0"/>
    <w:rsid w:val="00E02832"/>
    <w:rsid w:val="00E028C9"/>
    <w:rsid w:val="00E029E7"/>
    <w:rsid w:val="00E02ACB"/>
    <w:rsid w:val="00E02C0B"/>
    <w:rsid w:val="00E02C4A"/>
    <w:rsid w:val="00E02C8E"/>
    <w:rsid w:val="00E02E76"/>
    <w:rsid w:val="00E02EA8"/>
    <w:rsid w:val="00E02F89"/>
    <w:rsid w:val="00E02FB7"/>
    <w:rsid w:val="00E03006"/>
    <w:rsid w:val="00E030C0"/>
    <w:rsid w:val="00E03171"/>
    <w:rsid w:val="00E03358"/>
    <w:rsid w:val="00E0335F"/>
    <w:rsid w:val="00E0341B"/>
    <w:rsid w:val="00E0344A"/>
    <w:rsid w:val="00E034A5"/>
    <w:rsid w:val="00E03574"/>
    <w:rsid w:val="00E03667"/>
    <w:rsid w:val="00E03832"/>
    <w:rsid w:val="00E03BA9"/>
    <w:rsid w:val="00E041CF"/>
    <w:rsid w:val="00E044AA"/>
    <w:rsid w:val="00E044EB"/>
    <w:rsid w:val="00E04671"/>
    <w:rsid w:val="00E04810"/>
    <w:rsid w:val="00E04C76"/>
    <w:rsid w:val="00E04CD0"/>
    <w:rsid w:val="00E04D70"/>
    <w:rsid w:val="00E04D88"/>
    <w:rsid w:val="00E05027"/>
    <w:rsid w:val="00E0534D"/>
    <w:rsid w:val="00E05643"/>
    <w:rsid w:val="00E05774"/>
    <w:rsid w:val="00E05784"/>
    <w:rsid w:val="00E05A41"/>
    <w:rsid w:val="00E05ADE"/>
    <w:rsid w:val="00E05F04"/>
    <w:rsid w:val="00E05F4B"/>
    <w:rsid w:val="00E061D3"/>
    <w:rsid w:val="00E06299"/>
    <w:rsid w:val="00E06500"/>
    <w:rsid w:val="00E06AED"/>
    <w:rsid w:val="00E06CFA"/>
    <w:rsid w:val="00E06D05"/>
    <w:rsid w:val="00E07093"/>
    <w:rsid w:val="00E071A4"/>
    <w:rsid w:val="00E071C4"/>
    <w:rsid w:val="00E07230"/>
    <w:rsid w:val="00E0731C"/>
    <w:rsid w:val="00E073F7"/>
    <w:rsid w:val="00E074DD"/>
    <w:rsid w:val="00E075B8"/>
    <w:rsid w:val="00E07965"/>
    <w:rsid w:val="00E0798D"/>
    <w:rsid w:val="00E07C03"/>
    <w:rsid w:val="00E07D4E"/>
    <w:rsid w:val="00E07E1C"/>
    <w:rsid w:val="00E07EAB"/>
    <w:rsid w:val="00E1016D"/>
    <w:rsid w:val="00E101AA"/>
    <w:rsid w:val="00E1064C"/>
    <w:rsid w:val="00E106CE"/>
    <w:rsid w:val="00E10805"/>
    <w:rsid w:val="00E108FB"/>
    <w:rsid w:val="00E10DC3"/>
    <w:rsid w:val="00E10DFA"/>
    <w:rsid w:val="00E10E67"/>
    <w:rsid w:val="00E10E71"/>
    <w:rsid w:val="00E10EC6"/>
    <w:rsid w:val="00E11480"/>
    <w:rsid w:val="00E114E2"/>
    <w:rsid w:val="00E1153A"/>
    <w:rsid w:val="00E11589"/>
    <w:rsid w:val="00E115FB"/>
    <w:rsid w:val="00E11B51"/>
    <w:rsid w:val="00E11B5B"/>
    <w:rsid w:val="00E11B63"/>
    <w:rsid w:val="00E11C43"/>
    <w:rsid w:val="00E11D2D"/>
    <w:rsid w:val="00E11DEC"/>
    <w:rsid w:val="00E11FF2"/>
    <w:rsid w:val="00E11FF9"/>
    <w:rsid w:val="00E12183"/>
    <w:rsid w:val="00E122B0"/>
    <w:rsid w:val="00E123C2"/>
    <w:rsid w:val="00E1242D"/>
    <w:rsid w:val="00E12544"/>
    <w:rsid w:val="00E12594"/>
    <w:rsid w:val="00E1265D"/>
    <w:rsid w:val="00E127C1"/>
    <w:rsid w:val="00E12E81"/>
    <w:rsid w:val="00E132AD"/>
    <w:rsid w:val="00E134C7"/>
    <w:rsid w:val="00E13772"/>
    <w:rsid w:val="00E138E2"/>
    <w:rsid w:val="00E13BE2"/>
    <w:rsid w:val="00E13E57"/>
    <w:rsid w:val="00E1407A"/>
    <w:rsid w:val="00E1407C"/>
    <w:rsid w:val="00E141DE"/>
    <w:rsid w:val="00E142AA"/>
    <w:rsid w:val="00E14820"/>
    <w:rsid w:val="00E14B53"/>
    <w:rsid w:val="00E14CC3"/>
    <w:rsid w:val="00E14DFE"/>
    <w:rsid w:val="00E15225"/>
    <w:rsid w:val="00E15344"/>
    <w:rsid w:val="00E155B3"/>
    <w:rsid w:val="00E15603"/>
    <w:rsid w:val="00E157F0"/>
    <w:rsid w:val="00E15886"/>
    <w:rsid w:val="00E158F8"/>
    <w:rsid w:val="00E1596A"/>
    <w:rsid w:val="00E15C9D"/>
    <w:rsid w:val="00E15F10"/>
    <w:rsid w:val="00E15F52"/>
    <w:rsid w:val="00E16034"/>
    <w:rsid w:val="00E160A0"/>
    <w:rsid w:val="00E16142"/>
    <w:rsid w:val="00E161A7"/>
    <w:rsid w:val="00E161F4"/>
    <w:rsid w:val="00E1625D"/>
    <w:rsid w:val="00E166B4"/>
    <w:rsid w:val="00E166E6"/>
    <w:rsid w:val="00E16877"/>
    <w:rsid w:val="00E16EDE"/>
    <w:rsid w:val="00E16FDC"/>
    <w:rsid w:val="00E1716F"/>
    <w:rsid w:val="00E171E3"/>
    <w:rsid w:val="00E17250"/>
    <w:rsid w:val="00E176ED"/>
    <w:rsid w:val="00E17C2E"/>
    <w:rsid w:val="00E17C71"/>
    <w:rsid w:val="00E17D0A"/>
    <w:rsid w:val="00E17F27"/>
    <w:rsid w:val="00E17F80"/>
    <w:rsid w:val="00E20142"/>
    <w:rsid w:val="00E2075E"/>
    <w:rsid w:val="00E2093D"/>
    <w:rsid w:val="00E20AAD"/>
    <w:rsid w:val="00E20D8C"/>
    <w:rsid w:val="00E210A4"/>
    <w:rsid w:val="00E2137E"/>
    <w:rsid w:val="00E21616"/>
    <w:rsid w:val="00E216BB"/>
    <w:rsid w:val="00E218F8"/>
    <w:rsid w:val="00E21EDC"/>
    <w:rsid w:val="00E22284"/>
    <w:rsid w:val="00E222AD"/>
    <w:rsid w:val="00E22384"/>
    <w:rsid w:val="00E2252A"/>
    <w:rsid w:val="00E2257B"/>
    <w:rsid w:val="00E22969"/>
    <w:rsid w:val="00E22C22"/>
    <w:rsid w:val="00E22F86"/>
    <w:rsid w:val="00E23325"/>
    <w:rsid w:val="00E23396"/>
    <w:rsid w:val="00E234D7"/>
    <w:rsid w:val="00E234F1"/>
    <w:rsid w:val="00E234FB"/>
    <w:rsid w:val="00E23557"/>
    <w:rsid w:val="00E237C5"/>
    <w:rsid w:val="00E2383C"/>
    <w:rsid w:val="00E23AAE"/>
    <w:rsid w:val="00E23ABB"/>
    <w:rsid w:val="00E23BC2"/>
    <w:rsid w:val="00E241AE"/>
    <w:rsid w:val="00E2423A"/>
    <w:rsid w:val="00E24417"/>
    <w:rsid w:val="00E244F6"/>
    <w:rsid w:val="00E24573"/>
    <w:rsid w:val="00E2459B"/>
    <w:rsid w:val="00E2473A"/>
    <w:rsid w:val="00E2476E"/>
    <w:rsid w:val="00E248C0"/>
    <w:rsid w:val="00E24BBA"/>
    <w:rsid w:val="00E24C13"/>
    <w:rsid w:val="00E24D6F"/>
    <w:rsid w:val="00E24E72"/>
    <w:rsid w:val="00E25028"/>
    <w:rsid w:val="00E25051"/>
    <w:rsid w:val="00E25302"/>
    <w:rsid w:val="00E25398"/>
    <w:rsid w:val="00E2541E"/>
    <w:rsid w:val="00E254D3"/>
    <w:rsid w:val="00E25A28"/>
    <w:rsid w:val="00E25B18"/>
    <w:rsid w:val="00E25C9A"/>
    <w:rsid w:val="00E25EAD"/>
    <w:rsid w:val="00E25F68"/>
    <w:rsid w:val="00E2641C"/>
    <w:rsid w:val="00E2663C"/>
    <w:rsid w:val="00E266E8"/>
    <w:rsid w:val="00E268CC"/>
    <w:rsid w:val="00E26A53"/>
    <w:rsid w:val="00E27478"/>
    <w:rsid w:val="00E27501"/>
    <w:rsid w:val="00E275D8"/>
    <w:rsid w:val="00E2766D"/>
    <w:rsid w:val="00E27A10"/>
    <w:rsid w:val="00E27FC7"/>
    <w:rsid w:val="00E30105"/>
    <w:rsid w:val="00E30272"/>
    <w:rsid w:val="00E303ED"/>
    <w:rsid w:val="00E3047D"/>
    <w:rsid w:val="00E304AC"/>
    <w:rsid w:val="00E304B4"/>
    <w:rsid w:val="00E304D4"/>
    <w:rsid w:val="00E30695"/>
    <w:rsid w:val="00E30975"/>
    <w:rsid w:val="00E30A21"/>
    <w:rsid w:val="00E30DBB"/>
    <w:rsid w:val="00E30EBE"/>
    <w:rsid w:val="00E31015"/>
    <w:rsid w:val="00E31138"/>
    <w:rsid w:val="00E3117A"/>
    <w:rsid w:val="00E31241"/>
    <w:rsid w:val="00E314C7"/>
    <w:rsid w:val="00E31514"/>
    <w:rsid w:val="00E3159A"/>
    <w:rsid w:val="00E3170B"/>
    <w:rsid w:val="00E317A3"/>
    <w:rsid w:val="00E31865"/>
    <w:rsid w:val="00E318F2"/>
    <w:rsid w:val="00E31C9D"/>
    <w:rsid w:val="00E31D04"/>
    <w:rsid w:val="00E31DA6"/>
    <w:rsid w:val="00E31DBB"/>
    <w:rsid w:val="00E31F89"/>
    <w:rsid w:val="00E32018"/>
    <w:rsid w:val="00E32091"/>
    <w:rsid w:val="00E32565"/>
    <w:rsid w:val="00E32569"/>
    <w:rsid w:val="00E3269D"/>
    <w:rsid w:val="00E327DF"/>
    <w:rsid w:val="00E32AB4"/>
    <w:rsid w:val="00E33260"/>
    <w:rsid w:val="00E33310"/>
    <w:rsid w:val="00E333BE"/>
    <w:rsid w:val="00E333D8"/>
    <w:rsid w:val="00E33436"/>
    <w:rsid w:val="00E334A3"/>
    <w:rsid w:val="00E33515"/>
    <w:rsid w:val="00E335CC"/>
    <w:rsid w:val="00E335FA"/>
    <w:rsid w:val="00E336FF"/>
    <w:rsid w:val="00E33732"/>
    <w:rsid w:val="00E33EB9"/>
    <w:rsid w:val="00E3438D"/>
    <w:rsid w:val="00E344DF"/>
    <w:rsid w:val="00E345DA"/>
    <w:rsid w:val="00E345EB"/>
    <w:rsid w:val="00E3471D"/>
    <w:rsid w:val="00E349D1"/>
    <w:rsid w:val="00E349F6"/>
    <w:rsid w:val="00E34A8E"/>
    <w:rsid w:val="00E34AD4"/>
    <w:rsid w:val="00E34C95"/>
    <w:rsid w:val="00E34E3D"/>
    <w:rsid w:val="00E34F58"/>
    <w:rsid w:val="00E35070"/>
    <w:rsid w:val="00E351C1"/>
    <w:rsid w:val="00E35369"/>
    <w:rsid w:val="00E357A0"/>
    <w:rsid w:val="00E357FE"/>
    <w:rsid w:val="00E359F0"/>
    <w:rsid w:val="00E35BA8"/>
    <w:rsid w:val="00E35C91"/>
    <w:rsid w:val="00E35D20"/>
    <w:rsid w:val="00E35E5A"/>
    <w:rsid w:val="00E35E8A"/>
    <w:rsid w:val="00E3601D"/>
    <w:rsid w:val="00E360F6"/>
    <w:rsid w:val="00E36316"/>
    <w:rsid w:val="00E363E0"/>
    <w:rsid w:val="00E367F0"/>
    <w:rsid w:val="00E368F2"/>
    <w:rsid w:val="00E36B22"/>
    <w:rsid w:val="00E36C58"/>
    <w:rsid w:val="00E37094"/>
    <w:rsid w:val="00E374E0"/>
    <w:rsid w:val="00E375A8"/>
    <w:rsid w:val="00E375EE"/>
    <w:rsid w:val="00E37658"/>
    <w:rsid w:val="00E37868"/>
    <w:rsid w:val="00E37DBF"/>
    <w:rsid w:val="00E37F76"/>
    <w:rsid w:val="00E40122"/>
    <w:rsid w:val="00E40692"/>
    <w:rsid w:val="00E4071F"/>
    <w:rsid w:val="00E4094F"/>
    <w:rsid w:val="00E40D6C"/>
    <w:rsid w:val="00E40DFB"/>
    <w:rsid w:val="00E40ED7"/>
    <w:rsid w:val="00E410CE"/>
    <w:rsid w:val="00E4138C"/>
    <w:rsid w:val="00E4146D"/>
    <w:rsid w:val="00E41591"/>
    <w:rsid w:val="00E415B0"/>
    <w:rsid w:val="00E415DE"/>
    <w:rsid w:val="00E417C8"/>
    <w:rsid w:val="00E41815"/>
    <w:rsid w:val="00E41892"/>
    <w:rsid w:val="00E41A93"/>
    <w:rsid w:val="00E41B14"/>
    <w:rsid w:val="00E41CFA"/>
    <w:rsid w:val="00E41F02"/>
    <w:rsid w:val="00E42233"/>
    <w:rsid w:val="00E42308"/>
    <w:rsid w:val="00E423CA"/>
    <w:rsid w:val="00E428A7"/>
    <w:rsid w:val="00E429FA"/>
    <w:rsid w:val="00E42A6E"/>
    <w:rsid w:val="00E42CFE"/>
    <w:rsid w:val="00E42E34"/>
    <w:rsid w:val="00E42E7D"/>
    <w:rsid w:val="00E4317D"/>
    <w:rsid w:val="00E43581"/>
    <w:rsid w:val="00E435BD"/>
    <w:rsid w:val="00E43825"/>
    <w:rsid w:val="00E43A41"/>
    <w:rsid w:val="00E43BB3"/>
    <w:rsid w:val="00E43EFB"/>
    <w:rsid w:val="00E4409A"/>
    <w:rsid w:val="00E441DD"/>
    <w:rsid w:val="00E44346"/>
    <w:rsid w:val="00E444CE"/>
    <w:rsid w:val="00E447E1"/>
    <w:rsid w:val="00E448D7"/>
    <w:rsid w:val="00E44CEF"/>
    <w:rsid w:val="00E44DB0"/>
    <w:rsid w:val="00E45064"/>
    <w:rsid w:val="00E450DD"/>
    <w:rsid w:val="00E450E9"/>
    <w:rsid w:val="00E45471"/>
    <w:rsid w:val="00E457AE"/>
    <w:rsid w:val="00E45817"/>
    <w:rsid w:val="00E45882"/>
    <w:rsid w:val="00E459DF"/>
    <w:rsid w:val="00E45C3B"/>
    <w:rsid w:val="00E45D76"/>
    <w:rsid w:val="00E45FB8"/>
    <w:rsid w:val="00E46233"/>
    <w:rsid w:val="00E4631D"/>
    <w:rsid w:val="00E46824"/>
    <w:rsid w:val="00E4690A"/>
    <w:rsid w:val="00E46A19"/>
    <w:rsid w:val="00E46C37"/>
    <w:rsid w:val="00E46E63"/>
    <w:rsid w:val="00E46E9E"/>
    <w:rsid w:val="00E46F1E"/>
    <w:rsid w:val="00E46FAC"/>
    <w:rsid w:val="00E472D4"/>
    <w:rsid w:val="00E47502"/>
    <w:rsid w:val="00E475AE"/>
    <w:rsid w:val="00E475DC"/>
    <w:rsid w:val="00E47771"/>
    <w:rsid w:val="00E478C7"/>
    <w:rsid w:val="00E479A1"/>
    <w:rsid w:val="00E47D96"/>
    <w:rsid w:val="00E47E8E"/>
    <w:rsid w:val="00E501DB"/>
    <w:rsid w:val="00E5031B"/>
    <w:rsid w:val="00E50399"/>
    <w:rsid w:val="00E503DF"/>
    <w:rsid w:val="00E50741"/>
    <w:rsid w:val="00E509AC"/>
    <w:rsid w:val="00E50AA8"/>
    <w:rsid w:val="00E50BEA"/>
    <w:rsid w:val="00E50C39"/>
    <w:rsid w:val="00E50C4A"/>
    <w:rsid w:val="00E510A4"/>
    <w:rsid w:val="00E51151"/>
    <w:rsid w:val="00E51516"/>
    <w:rsid w:val="00E518F4"/>
    <w:rsid w:val="00E51D6A"/>
    <w:rsid w:val="00E51E3A"/>
    <w:rsid w:val="00E51ED6"/>
    <w:rsid w:val="00E5207E"/>
    <w:rsid w:val="00E520DD"/>
    <w:rsid w:val="00E521A5"/>
    <w:rsid w:val="00E525AB"/>
    <w:rsid w:val="00E525DD"/>
    <w:rsid w:val="00E52806"/>
    <w:rsid w:val="00E52962"/>
    <w:rsid w:val="00E52B46"/>
    <w:rsid w:val="00E52B5C"/>
    <w:rsid w:val="00E53036"/>
    <w:rsid w:val="00E53254"/>
    <w:rsid w:val="00E532D7"/>
    <w:rsid w:val="00E534FE"/>
    <w:rsid w:val="00E53958"/>
    <w:rsid w:val="00E53AFB"/>
    <w:rsid w:val="00E53B60"/>
    <w:rsid w:val="00E53BD1"/>
    <w:rsid w:val="00E54282"/>
    <w:rsid w:val="00E545CF"/>
    <w:rsid w:val="00E54721"/>
    <w:rsid w:val="00E5494B"/>
    <w:rsid w:val="00E54A0E"/>
    <w:rsid w:val="00E54A5C"/>
    <w:rsid w:val="00E54C31"/>
    <w:rsid w:val="00E54C62"/>
    <w:rsid w:val="00E54F90"/>
    <w:rsid w:val="00E550AF"/>
    <w:rsid w:val="00E550D9"/>
    <w:rsid w:val="00E553B6"/>
    <w:rsid w:val="00E554FE"/>
    <w:rsid w:val="00E55620"/>
    <w:rsid w:val="00E55628"/>
    <w:rsid w:val="00E558A3"/>
    <w:rsid w:val="00E558C7"/>
    <w:rsid w:val="00E55B03"/>
    <w:rsid w:val="00E55B3B"/>
    <w:rsid w:val="00E55F7C"/>
    <w:rsid w:val="00E55F9B"/>
    <w:rsid w:val="00E55FD7"/>
    <w:rsid w:val="00E56085"/>
    <w:rsid w:val="00E562DD"/>
    <w:rsid w:val="00E562F5"/>
    <w:rsid w:val="00E562FB"/>
    <w:rsid w:val="00E5660C"/>
    <w:rsid w:val="00E56AF2"/>
    <w:rsid w:val="00E56C23"/>
    <w:rsid w:val="00E56F61"/>
    <w:rsid w:val="00E56FA0"/>
    <w:rsid w:val="00E571F1"/>
    <w:rsid w:val="00E575BF"/>
    <w:rsid w:val="00E57698"/>
    <w:rsid w:val="00E578F2"/>
    <w:rsid w:val="00E57966"/>
    <w:rsid w:val="00E57C74"/>
    <w:rsid w:val="00E57CD8"/>
    <w:rsid w:val="00E57D2D"/>
    <w:rsid w:val="00E57F36"/>
    <w:rsid w:val="00E57FA3"/>
    <w:rsid w:val="00E601EB"/>
    <w:rsid w:val="00E6039A"/>
    <w:rsid w:val="00E60413"/>
    <w:rsid w:val="00E60492"/>
    <w:rsid w:val="00E605CB"/>
    <w:rsid w:val="00E6087C"/>
    <w:rsid w:val="00E61087"/>
    <w:rsid w:val="00E61365"/>
    <w:rsid w:val="00E61B18"/>
    <w:rsid w:val="00E61DF2"/>
    <w:rsid w:val="00E6219E"/>
    <w:rsid w:val="00E62262"/>
    <w:rsid w:val="00E62430"/>
    <w:rsid w:val="00E62476"/>
    <w:rsid w:val="00E62507"/>
    <w:rsid w:val="00E62684"/>
    <w:rsid w:val="00E62728"/>
    <w:rsid w:val="00E62A41"/>
    <w:rsid w:val="00E62C18"/>
    <w:rsid w:val="00E62C3F"/>
    <w:rsid w:val="00E630CD"/>
    <w:rsid w:val="00E63257"/>
    <w:rsid w:val="00E63445"/>
    <w:rsid w:val="00E639D3"/>
    <w:rsid w:val="00E639F8"/>
    <w:rsid w:val="00E63D98"/>
    <w:rsid w:val="00E63DD8"/>
    <w:rsid w:val="00E645B5"/>
    <w:rsid w:val="00E6463A"/>
    <w:rsid w:val="00E649CF"/>
    <w:rsid w:val="00E64A5C"/>
    <w:rsid w:val="00E64AB9"/>
    <w:rsid w:val="00E64B39"/>
    <w:rsid w:val="00E64B58"/>
    <w:rsid w:val="00E64E04"/>
    <w:rsid w:val="00E64F76"/>
    <w:rsid w:val="00E6516C"/>
    <w:rsid w:val="00E653BA"/>
    <w:rsid w:val="00E654A6"/>
    <w:rsid w:val="00E65768"/>
    <w:rsid w:val="00E65787"/>
    <w:rsid w:val="00E65881"/>
    <w:rsid w:val="00E65BDB"/>
    <w:rsid w:val="00E661A9"/>
    <w:rsid w:val="00E66221"/>
    <w:rsid w:val="00E66345"/>
    <w:rsid w:val="00E66579"/>
    <w:rsid w:val="00E665EE"/>
    <w:rsid w:val="00E66A5D"/>
    <w:rsid w:val="00E66AF3"/>
    <w:rsid w:val="00E66C2F"/>
    <w:rsid w:val="00E66C54"/>
    <w:rsid w:val="00E67137"/>
    <w:rsid w:val="00E6713D"/>
    <w:rsid w:val="00E6721E"/>
    <w:rsid w:val="00E6722F"/>
    <w:rsid w:val="00E67518"/>
    <w:rsid w:val="00E6757D"/>
    <w:rsid w:val="00E675C8"/>
    <w:rsid w:val="00E6774C"/>
    <w:rsid w:val="00E678AE"/>
    <w:rsid w:val="00E67DAB"/>
    <w:rsid w:val="00E67F9A"/>
    <w:rsid w:val="00E67FBA"/>
    <w:rsid w:val="00E7014C"/>
    <w:rsid w:val="00E704C7"/>
    <w:rsid w:val="00E706F4"/>
    <w:rsid w:val="00E70955"/>
    <w:rsid w:val="00E70990"/>
    <w:rsid w:val="00E70B1C"/>
    <w:rsid w:val="00E70B6E"/>
    <w:rsid w:val="00E70EC7"/>
    <w:rsid w:val="00E70F1D"/>
    <w:rsid w:val="00E7111D"/>
    <w:rsid w:val="00E7113F"/>
    <w:rsid w:val="00E71194"/>
    <w:rsid w:val="00E711F4"/>
    <w:rsid w:val="00E7138D"/>
    <w:rsid w:val="00E71761"/>
    <w:rsid w:val="00E717F4"/>
    <w:rsid w:val="00E7189F"/>
    <w:rsid w:val="00E71B18"/>
    <w:rsid w:val="00E71B71"/>
    <w:rsid w:val="00E71CA8"/>
    <w:rsid w:val="00E71D91"/>
    <w:rsid w:val="00E71F70"/>
    <w:rsid w:val="00E72247"/>
    <w:rsid w:val="00E7227C"/>
    <w:rsid w:val="00E725B8"/>
    <w:rsid w:val="00E728AF"/>
    <w:rsid w:val="00E72C02"/>
    <w:rsid w:val="00E72DF6"/>
    <w:rsid w:val="00E72E9F"/>
    <w:rsid w:val="00E72EAE"/>
    <w:rsid w:val="00E7330A"/>
    <w:rsid w:val="00E73652"/>
    <w:rsid w:val="00E73698"/>
    <w:rsid w:val="00E736DB"/>
    <w:rsid w:val="00E73F5E"/>
    <w:rsid w:val="00E74171"/>
    <w:rsid w:val="00E742F9"/>
    <w:rsid w:val="00E7449E"/>
    <w:rsid w:val="00E74693"/>
    <w:rsid w:val="00E74A12"/>
    <w:rsid w:val="00E74A96"/>
    <w:rsid w:val="00E74B78"/>
    <w:rsid w:val="00E74D03"/>
    <w:rsid w:val="00E74F35"/>
    <w:rsid w:val="00E74F5F"/>
    <w:rsid w:val="00E75082"/>
    <w:rsid w:val="00E75086"/>
    <w:rsid w:val="00E7509F"/>
    <w:rsid w:val="00E75133"/>
    <w:rsid w:val="00E7546F"/>
    <w:rsid w:val="00E7550D"/>
    <w:rsid w:val="00E7576D"/>
    <w:rsid w:val="00E75D67"/>
    <w:rsid w:val="00E75E70"/>
    <w:rsid w:val="00E7601D"/>
    <w:rsid w:val="00E76151"/>
    <w:rsid w:val="00E7617A"/>
    <w:rsid w:val="00E76339"/>
    <w:rsid w:val="00E764AA"/>
    <w:rsid w:val="00E769EC"/>
    <w:rsid w:val="00E76BA3"/>
    <w:rsid w:val="00E76BC0"/>
    <w:rsid w:val="00E76BC7"/>
    <w:rsid w:val="00E76D90"/>
    <w:rsid w:val="00E76DE2"/>
    <w:rsid w:val="00E76E60"/>
    <w:rsid w:val="00E77245"/>
    <w:rsid w:val="00E7729D"/>
    <w:rsid w:val="00E77575"/>
    <w:rsid w:val="00E776BD"/>
    <w:rsid w:val="00E7774F"/>
    <w:rsid w:val="00E77963"/>
    <w:rsid w:val="00E77A04"/>
    <w:rsid w:val="00E77BA4"/>
    <w:rsid w:val="00E804A5"/>
    <w:rsid w:val="00E80770"/>
    <w:rsid w:val="00E807BB"/>
    <w:rsid w:val="00E80A26"/>
    <w:rsid w:val="00E80ACF"/>
    <w:rsid w:val="00E811B2"/>
    <w:rsid w:val="00E81479"/>
    <w:rsid w:val="00E81721"/>
    <w:rsid w:val="00E817CB"/>
    <w:rsid w:val="00E817DD"/>
    <w:rsid w:val="00E81A5A"/>
    <w:rsid w:val="00E81B1B"/>
    <w:rsid w:val="00E81C8C"/>
    <w:rsid w:val="00E81CFE"/>
    <w:rsid w:val="00E81D3B"/>
    <w:rsid w:val="00E81D49"/>
    <w:rsid w:val="00E81E54"/>
    <w:rsid w:val="00E81F6C"/>
    <w:rsid w:val="00E8228B"/>
    <w:rsid w:val="00E823FE"/>
    <w:rsid w:val="00E8297E"/>
    <w:rsid w:val="00E82B33"/>
    <w:rsid w:val="00E82C64"/>
    <w:rsid w:val="00E82D31"/>
    <w:rsid w:val="00E82D5A"/>
    <w:rsid w:val="00E82F3B"/>
    <w:rsid w:val="00E82F56"/>
    <w:rsid w:val="00E8310F"/>
    <w:rsid w:val="00E83595"/>
    <w:rsid w:val="00E83660"/>
    <w:rsid w:val="00E83767"/>
    <w:rsid w:val="00E83AA9"/>
    <w:rsid w:val="00E83B2C"/>
    <w:rsid w:val="00E83B98"/>
    <w:rsid w:val="00E83D49"/>
    <w:rsid w:val="00E83F04"/>
    <w:rsid w:val="00E83FC0"/>
    <w:rsid w:val="00E84001"/>
    <w:rsid w:val="00E84096"/>
    <w:rsid w:val="00E84112"/>
    <w:rsid w:val="00E8415A"/>
    <w:rsid w:val="00E84203"/>
    <w:rsid w:val="00E84636"/>
    <w:rsid w:val="00E846DA"/>
    <w:rsid w:val="00E847FB"/>
    <w:rsid w:val="00E84909"/>
    <w:rsid w:val="00E84A25"/>
    <w:rsid w:val="00E84ABA"/>
    <w:rsid w:val="00E84ACD"/>
    <w:rsid w:val="00E84D2A"/>
    <w:rsid w:val="00E84E23"/>
    <w:rsid w:val="00E85224"/>
    <w:rsid w:val="00E85420"/>
    <w:rsid w:val="00E8547C"/>
    <w:rsid w:val="00E858F8"/>
    <w:rsid w:val="00E85EED"/>
    <w:rsid w:val="00E85F43"/>
    <w:rsid w:val="00E86221"/>
    <w:rsid w:val="00E8632A"/>
    <w:rsid w:val="00E86374"/>
    <w:rsid w:val="00E86425"/>
    <w:rsid w:val="00E864ED"/>
    <w:rsid w:val="00E8669C"/>
    <w:rsid w:val="00E868C9"/>
    <w:rsid w:val="00E86AEB"/>
    <w:rsid w:val="00E86B4D"/>
    <w:rsid w:val="00E86B4E"/>
    <w:rsid w:val="00E86CC9"/>
    <w:rsid w:val="00E86D4B"/>
    <w:rsid w:val="00E86F5D"/>
    <w:rsid w:val="00E86FC5"/>
    <w:rsid w:val="00E86FFC"/>
    <w:rsid w:val="00E87508"/>
    <w:rsid w:val="00E87993"/>
    <w:rsid w:val="00E87B81"/>
    <w:rsid w:val="00E87F7B"/>
    <w:rsid w:val="00E90012"/>
    <w:rsid w:val="00E90364"/>
    <w:rsid w:val="00E903DF"/>
    <w:rsid w:val="00E9058D"/>
    <w:rsid w:val="00E905C7"/>
    <w:rsid w:val="00E90672"/>
    <w:rsid w:val="00E906AB"/>
    <w:rsid w:val="00E90B2D"/>
    <w:rsid w:val="00E90DCC"/>
    <w:rsid w:val="00E90F29"/>
    <w:rsid w:val="00E91116"/>
    <w:rsid w:val="00E91182"/>
    <w:rsid w:val="00E91291"/>
    <w:rsid w:val="00E91297"/>
    <w:rsid w:val="00E912F2"/>
    <w:rsid w:val="00E91445"/>
    <w:rsid w:val="00E914D8"/>
    <w:rsid w:val="00E915F4"/>
    <w:rsid w:val="00E9168A"/>
    <w:rsid w:val="00E916B0"/>
    <w:rsid w:val="00E9177A"/>
    <w:rsid w:val="00E919B4"/>
    <w:rsid w:val="00E91AF1"/>
    <w:rsid w:val="00E91D4D"/>
    <w:rsid w:val="00E91D67"/>
    <w:rsid w:val="00E91DEA"/>
    <w:rsid w:val="00E91E2D"/>
    <w:rsid w:val="00E92016"/>
    <w:rsid w:val="00E921BC"/>
    <w:rsid w:val="00E921CC"/>
    <w:rsid w:val="00E923E0"/>
    <w:rsid w:val="00E926D3"/>
    <w:rsid w:val="00E9273E"/>
    <w:rsid w:val="00E928C0"/>
    <w:rsid w:val="00E92908"/>
    <w:rsid w:val="00E92A19"/>
    <w:rsid w:val="00E92A64"/>
    <w:rsid w:val="00E92D78"/>
    <w:rsid w:val="00E92E7E"/>
    <w:rsid w:val="00E9307E"/>
    <w:rsid w:val="00E9335C"/>
    <w:rsid w:val="00E93369"/>
    <w:rsid w:val="00E933D8"/>
    <w:rsid w:val="00E934CA"/>
    <w:rsid w:val="00E935BD"/>
    <w:rsid w:val="00E938FA"/>
    <w:rsid w:val="00E93B5C"/>
    <w:rsid w:val="00E93BEE"/>
    <w:rsid w:val="00E93E4A"/>
    <w:rsid w:val="00E93EF2"/>
    <w:rsid w:val="00E947E9"/>
    <w:rsid w:val="00E9490B"/>
    <w:rsid w:val="00E9495B"/>
    <w:rsid w:val="00E94AD8"/>
    <w:rsid w:val="00E94B78"/>
    <w:rsid w:val="00E94F03"/>
    <w:rsid w:val="00E951EB"/>
    <w:rsid w:val="00E9539C"/>
    <w:rsid w:val="00E9552E"/>
    <w:rsid w:val="00E9557F"/>
    <w:rsid w:val="00E9558B"/>
    <w:rsid w:val="00E955A6"/>
    <w:rsid w:val="00E955AF"/>
    <w:rsid w:val="00E95918"/>
    <w:rsid w:val="00E95A80"/>
    <w:rsid w:val="00E95D20"/>
    <w:rsid w:val="00E95E2F"/>
    <w:rsid w:val="00E95F71"/>
    <w:rsid w:val="00E95FBF"/>
    <w:rsid w:val="00E96033"/>
    <w:rsid w:val="00E96045"/>
    <w:rsid w:val="00E96264"/>
    <w:rsid w:val="00E965DC"/>
    <w:rsid w:val="00E96901"/>
    <w:rsid w:val="00E96B40"/>
    <w:rsid w:val="00E96CC9"/>
    <w:rsid w:val="00E971DD"/>
    <w:rsid w:val="00E97314"/>
    <w:rsid w:val="00E9763A"/>
    <w:rsid w:val="00E97896"/>
    <w:rsid w:val="00E97E29"/>
    <w:rsid w:val="00E97E4A"/>
    <w:rsid w:val="00EA0250"/>
    <w:rsid w:val="00EA04EE"/>
    <w:rsid w:val="00EA056B"/>
    <w:rsid w:val="00EA0CB8"/>
    <w:rsid w:val="00EA0DB0"/>
    <w:rsid w:val="00EA0DC6"/>
    <w:rsid w:val="00EA11BE"/>
    <w:rsid w:val="00EA1585"/>
    <w:rsid w:val="00EA1663"/>
    <w:rsid w:val="00EA16BB"/>
    <w:rsid w:val="00EA16D9"/>
    <w:rsid w:val="00EA171F"/>
    <w:rsid w:val="00EA18EC"/>
    <w:rsid w:val="00EA1B49"/>
    <w:rsid w:val="00EA1DA8"/>
    <w:rsid w:val="00EA1DC8"/>
    <w:rsid w:val="00EA1F43"/>
    <w:rsid w:val="00EA2022"/>
    <w:rsid w:val="00EA209F"/>
    <w:rsid w:val="00EA217B"/>
    <w:rsid w:val="00EA218E"/>
    <w:rsid w:val="00EA24D6"/>
    <w:rsid w:val="00EA284A"/>
    <w:rsid w:val="00EA289C"/>
    <w:rsid w:val="00EA2965"/>
    <w:rsid w:val="00EA29B7"/>
    <w:rsid w:val="00EA3013"/>
    <w:rsid w:val="00EA3348"/>
    <w:rsid w:val="00EA3545"/>
    <w:rsid w:val="00EA35EA"/>
    <w:rsid w:val="00EA36C7"/>
    <w:rsid w:val="00EA3896"/>
    <w:rsid w:val="00EA3A17"/>
    <w:rsid w:val="00EA3A6C"/>
    <w:rsid w:val="00EA3D19"/>
    <w:rsid w:val="00EA3D9D"/>
    <w:rsid w:val="00EA3EC6"/>
    <w:rsid w:val="00EA40C1"/>
    <w:rsid w:val="00EA40C7"/>
    <w:rsid w:val="00EA4120"/>
    <w:rsid w:val="00EA4187"/>
    <w:rsid w:val="00EA4443"/>
    <w:rsid w:val="00EA45B1"/>
    <w:rsid w:val="00EA4823"/>
    <w:rsid w:val="00EA4BF8"/>
    <w:rsid w:val="00EA4DF8"/>
    <w:rsid w:val="00EA5136"/>
    <w:rsid w:val="00EA5258"/>
    <w:rsid w:val="00EA552F"/>
    <w:rsid w:val="00EA55BB"/>
    <w:rsid w:val="00EA5762"/>
    <w:rsid w:val="00EA5800"/>
    <w:rsid w:val="00EA595C"/>
    <w:rsid w:val="00EA5C99"/>
    <w:rsid w:val="00EA5D9E"/>
    <w:rsid w:val="00EA61F6"/>
    <w:rsid w:val="00EA668F"/>
    <w:rsid w:val="00EA66D5"/>
    <w:rsid w:val="00EA67CE"/>
    <w:rsid w:val="00EA68A3"/>
    <w:rsid w:val="00EA6A3D"/>
    <w:rsid w:val="00EA6B46"/>
    <w:rsid w:val="00EA6B7C"/>
    <w:rsid w:val="00EA6BDA"/>
    <w:rsid w:val="00EA6C00"/>
    <w:rsid w:val="00EA6C03"/>
    <w:rsid w:val="00EA6D4D"/>
    <w:rsid w:val="00EA6D8C"/>
    <w:rsid w:val="00EA6FF7"/>
    <w:rsid w:val="00EA7161"/>
    <w:rsid w:val="00EA71FA"/>
    <w:rsid w:val="00EA720D"/>
    <w:rsid w:val="00EA7212"/>
    <w:rsid w:val="00EA7222"/>
    <w:rsid w:val="00EA72EF"/>
    <w:rsid w:val="00EA79AE"/>
    <w:rsid w:val="00EA7A66"/>
    <w:rsid w:val="00EA7AA9"/>
    <w:rsid w:val="00EA7AB5"/>
    <w:rsid w:val="00EA7BA2"/>
    <w:rsid w:val="00EA7D9E"/>
    <w:rsid w:val="00EA7E38"/>
    <w:rsid w:val="00EA7F69"/>
    <w:rsid w:val="00EA7F95"/>
    <w:rsid w:val="00EB018B"/>
    <w:rsid w:val="00EB03AE"/>
    <w:rsid w:val="00EB0668"/>
    <w:rsid w:val="00EB07DF"/>
    <w:rsid w:val="00EB0874"/>
    <w:rsid w:val="00EB0938"/>
    <w:rsid w:val="00EB09C3"/>
    <w:rsid w:val="00EB0BC7"/>
    <w:rsid w:val="00EB0BE0"/>
    <w:rsid w:val="00EB10EC"/>
    <w:rsid w:val="00EB11D7"/>
    <w:rsid w:val="00EB1832"/>
    <w:rsid w:val="00EB1DFA"/>
    <w:rsid w:val="00EB1E20"/>
    <w:rsid w:val="00EB222A"/>
    <w:rsid w:val="00EB23EF"/>
    <w:rsid w:val="00EB244F"/>
    <w:rsid w:val="00EB2789"/>
    <w:rsid w:val="00EB295E"/>
    <w:rsid w:val="00EB2974"/>
    <w:rsid w:val="00EB2AB3"/>
    <w:rsid w:val="00EB2D6E"/>
    <w:rsid w:val="00EB30D8"/>
    <w:rsid w:val="00EB31BD"/>
    <w:rsid w:val="00EB3275"/>
    <w:rsid w:val="00EB33A3"/>
    <w:rsid w:val="00EB351E"/>
    <w:rsid w:val="00EB3528"/>
    <w:rsid w:val="00EB3C8A"/>
    <w:rsid w:val="00EB3E15"/>
    <w:rsid w:val="00EB4058"/>
    <w:rsid w:val="00EB40A4"/>
    <w:rsid w:val="00EB40C2"/>
    <w:rsid w:val="00EB40CC"/>
    <w:rsid w:val="00EB4128"/>
    <w:rsid w:val="00EB4198"/>
    <w:rsid w:val="00EB43B5"/>
    <w:rsid w:val="00EB44F6"/>
    <w:rsid w:val="00EB4606"/>
    <w:rsid w:val="00EB463B"/>
    <w:rsid w:val="00EB493B"/>
    <w:rsid w:val="00EB4D34"/>
    <w:rsid w:val="00EB5052"/>
    <w:rsid w:val="00EB50F8"/>
    <w:rsid w:val="00EB5190"/>
    <w:rsid w:val="00EB5248"/>
    <w:rsid w:val="00EB5329"/>
    <w:rsid w:val="00EB5357"/>
    <w:rsid w:val="00EB53B6"/>
    <w:rsid w:val="00EB5434"/>
    <w:rsid w:val="00EB58A9"/>
    <w:rsid w:val="00EB58ED"/>
    <w:rsid w:val="00EB5932"/>
    <w:rsid w:val="00EB59F9"/>
    <w:rsid w:val="00EB5A64"/>
    <w:rsid w:val="00EB5AD8"/>
    <w:rsid w:val="00EB5AFE"/>
    <w:rsid w:val="00EB5BA8"/>
    <w:rsid w:val="00EB5D73"/>
    <w:rsid w:val="00EB5D91"/>
    <w:rsid w:val="00EB5F7E"/>
    <w:rsid w:val="00EB5FEC"/>
    <w:rsid w:val="00EB6753"/>
    <w:rsid w:val="00EB6AF2"/>
    <w:rsid w:val="00EB6CCC"/>
    <w:rsid w:val="00EB6EE6"/>
    <w:rsid w:val="00EB6FCA"/>
    <w:rsid w:val="00EB70D0"/>
    <w:rsid w:val="00EB7309"/>
    <w:rsid w:val="00EB77EE"/>
    <w:rsid w:val="00EB781B"/>
    <w:rsid w:val="00EB782B"/>
    <w:rsid w:val="00EB7B2D"/>
    <w:rsid w:val="00EB7B73"/>
    <w:rsid w:val="00EB7E15"/>
    <w:rsid w:val="00EC01E8"/>
    <w:rsid w:val="00EC0439"/>
    <w:rsid w:val="00EC0578"/>
    <w:rsid w:val="00EC06E7"/>
    <w:rsid w:val="00EC0708"/>
    <w:rsid w:val="00EC0910"/>
    <w:rsid w:val="00EC0960"/>
    <w:rsid w:val="00EC0C13"/>
    <w:rsid w:val="00EC0DAD"/>
    <w:rsid w:val="00EC0DDA"/>
    <w:rsid w:val="00EC0E65"/>
    <w:rsid w:val="00EC0F86"/>
    <w:rsid w:val="00EC12A4"/>
    <w:rsid w:val="00EC130A"/>
    <w:rsid w:val="00EC159C"/>
    <w:rsid w:val="00EC15AC"/>
    <w:rsid w:val="00EC15C1"/>
    <w:rsid w:val="00EC175F"/>
    <w:rsid w:val="00EC17D4"/>
    <w:rsid w:val="00EC1D07"/>
    <w:rsid w:val="00EC1D83"/>
    <w:rsid w:val="00EC1ED4"/>
    <w:rsid w:val="00EC1FC1"/>
    <w:rsid w:val="00EC2117"/>
    <w:rsid w:val="00EC248E"/>
    <w:rsid w:val="00EC251E"/>
    <w:rsid w:val="00EC25DC"/>
    <w:rsid w:val="00EC262C"/>
    <w:rsid w:val="00EC2C6B"/>
    <w:rsid w:val="00EC2C7F"/>
    <w:rsid w:val="00EC2CE5"/>
    <w:rsid w:val="00EC2DBC"/>
    <w:rsid w:val="00EC3283"/>
    <w:rsid w:val="00EC3A68"/>
    <w:rsid w:val="00EC3ADC"/>
    <w:rsid w:val="00EC3BD2"/>
    <w:rsid w:val="00EC3C03"/>
    <w:rsid w:val="00EC3C56"/>
    <w:rsid w:val="00EC3CE9"/>
    <w:rsid w:val="00EC3DDE"/>
    <w:rsid w:val="00EC3E13"/>
    <w:rsid w:val="00EC416B"/>
    <w:rsid w:val="00EC4774"/>
    <w:rsid w:val="00EC4A1F"/>
    <w:rsid w:val="00EC4B4F"/>
    <w:rsid w:val="00EC4B52"/>
    <w:rsid w:val="00EC4CA9"/>
    <w:rsid w:val="00EC4EE3"/>
    <w:rsid w:val="00EC4F2F"/>
    <w:rsid w:val="00EC4FA7"/>
    <w:rsid w:val="00EC5087"/>
    <w:rsid w:val="00EC50CA"/>
    <w:rsid w:val="00EC5106"/>
    <w:rsid w:val="00EC5350"/>
    <w:rsid w:val="00EC55D4"/>
    <w:rsid w:val="00EC5B27"/>
    <w:rsid w:val="00EC5BD5"/>
    <w:rsid w:val="00EC5F7D"/>
    <w:rsid w:val="00EC6014"/>
    <w:rsid w:val="00EC6060"/>
    <w:rsid w:val="00EC61D0"/>
    <w:rsid w:val="00EC6245"/>
    <w:rsid w:val="00EC6262"/>
    <w:rsid w:val="00EC628E"/>
    <w:rsid w:val="00EC629B"/>
    <w:rsid w:val="00EC63E2"/>
    <w:rsid w:val="00EC6442"/>
    <w:rsid w:val="00EC6486"/>
    <w:rsid w:val="00EC6577"/>
    <w:rsid w:val="00EC6688"/>
    <w:rsid w:val="00EC67E4"/>
    <w:rsid w:val="00EC6945"/>
    <w:rsid w:val="00EC6E65"/>
    <w:rsid w:val="00EC7009"/>
    <w:rsid w:val="00EC7241"/>
    <w:rsid w:val="00EC73C2"/>
    <w:rsid w:val="00EC75D0"/>
    <w:rsid w:val="00EC7625"/>
    <w:rsid w:val="00EC7671"/>
    <w:rsid w:val="00EC77EB"/>
    <w:rsid w:val="00EC7854"/>
    <w:rsid w:val="00EC7999"/>
    <w:rsid w:val="00EC7A2E"/>
    <w:rsid w:val="00EC7A9E"/>
    <w:rsid w:val="00ED0052"/>
    <w:rsid w:val="00ED013C"/>
    <w:rsid w:val="00ED07F1"/>
    <w:rsid w:val="00ED0871"/>
    <w:rsid w:val="00ED0AF1"/>
    <w:rsid w:val="00ED0B3C"/>
    <w:rsid w:val="00ED11A9"/>
    <w:rsid w:val="00ED12DD"/>
    <w:rsid w:val="00ED1990"/>
    <w:rsid w:val="00ED19D6"/>
    <w:rsid w:val="00ED1B01"/>
    <w:rsid w:val="00ED1D63"/>
    <w:rsid w:val="00ED2004"/>
    <w:rsid w:val="00ED222C"/>
    <w:rsid w:val="00ED222E"/>
    <w:rsid w:val="00ED22DE"/>
    <w:rsid w:val="00ED2339"/>
    <w:rsid w:val="00ED2435"/>
    <w:rsid w:val="00ED24AB"/>
    <w:rsid w:val="00ED2869"/>
    <w:rsid w:val="00ED2A39"/>
    <w:rsid w:val="00ED2C66"/>
    <w:rsid w:val="00ED2E10"/>
    <w:rsid w:val="00ED2E3D"/>
    <w:rsid w:val="00ED3487"/>
    <w:rsid w:val="00ED3607"/>
    <w:rsid w:val="00ED376B"/>
    <w:rsid w:val="00ED37A8"/>
    <w:rsid w:val="00ED3A6A"/>
    <w:rsid w:val="00ED3AEE"/>
    <w:rsid w:val="00ED3B13"/>
    <w:rsid w:val="00ED3B22"/>
    <w:rsid w:val="00ED3BF6"/>
    <w:rsid w:val="00ED3E24"/>
    <w:rsid w:val="00ED42E0"/>
    <w:rsid w:val="00ED43C6"/>
    <w:rsid w:val="00ED43EC"/>
    <w:rsid w:val="00ED4ADD"/>
    <w:rsid w:val="00ED4C28"/>
    <w:rsid w:val="00ED4DC1"/>
    <w:rsid w:val="00ED4E63"/>
    <w:rsid w:val="00ED4F1E"/>
    <w:rsid w:val="00ED4F56"/>
    <w:rsid w:val="00ED51F0"/>
    <w:rsid w:val="00ED569F"/>
    <w:rsid w:val="00ED57A6"/>
    <w:rsid w:val="00ED5B54"/>
    <w:rsid w:val="00ED5D19"/>
    <w:rsid w:val="00ED5DD9"/>
    <w:rsid w:val="00ED626A"/>
    <w:rsid w:val="00ED64FB"/>
    <w:rsid w:val="00ED66A2"/>
    <w:rsid w:val="00ED683D"/>
    <w:rsid w:val="00ED68F1"/>
    <w:rsid w:val="00ED6E76"/>
    <w:rsid w:val="00ED6F9B"/>
    <w:rsid w:val="00ED7068"/>
    <w:rsid w:val="00ED7307"/>
    <w:rsid w:val="00ED738F"/>
    <w:rsid w:val="00ED74B5"/>
    <w:rsid w:val="00ED755F"/>
    <w:rsid w:val="00EE025F"/>
    <w:rsid w:val="00EE03F2"/>
    <w:rsid w:val="00EE0491"/>
    <w:rsid w:val="00EE04C9"/>
    <w:rsid w:val="00EE05EA"/>
    <w:rsid w:val="00EE05EF"/>
    <w:rsid w:val="00EE0B36"/>
    <w:rsid w:val="00EE0D52"/>
    <w:rsid w:val="00EE0D93"/>
    <w:rsid w:val="00EE0DBE"/>
    <w:rsid w:val="00EE0E2F"/>
    <w:rsid w:val="00EE0EAA"/>
    <w:rsid w:val="00EE14C0"/>
    <w:rsid w:val="00EE1A29"/>
    <w:rsid w:val="00EE1B1A"/>
    <w:rsid w:val="00EE1BFF"/>
    <w:rsid w:val="00EE1C24"/>
    <w:rsid w:val="00EE1C6C"/>
    <w:rsid w:val="00EE1DB3"/>
    <w:rsid w:val="00EE2021"/>
    <w:rsid w:val="00EE2052"/>
    <w:rsid w:val="00EE215C"/>
    <w:rsid w:val="00EE239B"/>
    <w:rsid w:val="00EE262C"/>
    <w:rsid w:val="00EE279E"/>
    <w:rsid w:val="00EE2B02"/>
    <w:rsid w:val="00EE2D11"/>
    <w:rsid w:val="00EE310B"/>
    <w:rsid w:val="00EE3180"/>
    <w:rsid w:val="00EE332A"/>
    <w:rsid w:val="00EE3784"/>
    <w:rsid w:val="00EE398C"/>
    <w:rsid w:val="00EE3BE2"/>
    <w:rsid w:val="00EE3E14"/>
    <w:rsid w:val="00EE3E32"/>
    <w:rsid w:val="00EE42D6"/>
    <w:rsid w:val="00EE44DC"/>
    <w:rsid w:val="00EE4832"/>
    <w:rsid w:val="00EE4861"/>
    <w:rsid w:val="00EE4A41"/>
    <w:rsid w:val="00EE4CD2"/>
    <w:rsid w:val="00EE4D9C"/>
    <w:rsid w:val="00EE5146"/>
    <w:rsid w:val="00EE5164"/>
    <w:rsid w:val="00EE5503"/>
    <w:rsid w:val="00EE57DE"/>
    <w:rsid w:val="00EE5948"/>
    <w:rsid w:val="00EE5D3A"/>
    <w:rsid w:val="00EE5E68"/>
    <w:rsid w:val="00EE5F1D"/>
    <w:rsid w:val="00EE5F6B"/>
    <w:rsid w:val="00EE605E"/>
    <w:rsid w:val="00EE61A7"/>
    <w:rsid w:val="00EE61EC"/>
    <w:rsid w:val="00EE6249"/>
    <w:rsid w:val="00EE6254"/>
    <w:rsid w:val="00EE674C"/>
    <w:rsid w:val="00EE6A2D"/>
    <w:rsid w:val="00EE6AA3"/>
    <w:rsid w:val="00EE6CF8"/>
    <w:rsid w:val="00EE6D13"/>
    <w:rsid w:val="00EE6EBF"/>
    <w:rsid w:val="00EE6EE6"/>
    <w:rsid w:val="00EE7108"/>
    <w:rsid w:val="00EE7532"/>
    <w:rsid w:val="00EE7570"/>
    <w:rsid w:val="00EE75F8"/>
    <w:rsid w:val="00EE7977"/>
    <w:rsid w:val="00EE7BD4"/>
    <w:rsid w:val="00EE7CAF"/>
    <w:rsid w:val="00EE7CD1"/>
    <w:rsid w:val="00EE7FFC"/>
    <w:rsid w:val="00EF0002"/>
    <w:rsid w:val="00EF01EB"/>
    <w:rsid w:val="00EF02EB"/>
    <w:rsid w:val="00EF0406"/>
    <w:rsid w:val="00EF06DD"/>
    <w:rsid w:val="00EF0B27"/>
    <w:rsid w:val="00EF0F5D"/>
    <w:rsid w:val="00EF0F6F"/>
    <w:rsid w:val="00EF1041"/>
    <w:rsid w:val="00EF1375"/>
    <w:rsid w:val="00EF137A"/>
    <w:rsid w:val="00EF1600"/>
    <w:rsid w:val="00EF16F1"/>
    <w:rsid w:val="00EF176D"/>
    <w:rsid w:val="00EF18B2"/>
    <w:rsid w:val="00EF1977"/>
    <w:rsid w:val="00EF1EBF"/>
    <w:rsid w:val="00EF2004"/>
    <w:rsid w:val="00EF2330"/>
    <w:rsid w:val="00EF2397"/>
    <w:rsid w:val="00EF23FC"/>
    <w:rsid w:val="00EF25C5"/>
    <w:rsid w:val="00EF27A1"/>
    <w:rsid w:val="00EF2A1C"/>
    <w:rsid w:val="00EF2D12"/>
    <w:rsid w:val="00EF2FEB"/>
    <w:rsid w:val="00EF3142"/>
    <w:rsid w:val="00EF3159"/>
    <w:rsid w:val="00EF330A"/>
    <w:rsid w:val="00EF3AE3"/>
    <w:rsid w:val="00EF3AE4"/>
    <w:rsid w:val="00EF3D0E"/>
    <w:rsid w:val="00EF3ECD"/>
    <w:rsid w:val="00EF4388"/>
    <w:rsid w:val="00EF43D0"/>
    <w:rsid w:val="00EF447F"/>
    <w:rsid w:val="00EF4D40"/>
    <w:rsid w:val="00EF4E72"/>
    <w:rsid w:val="00EF4EEA"/>
    <w:rsid w:val="00EF500D"/>
    <w:rsid w:val="00EF5181"/>
    <w:rsid w:val="00EF5206"/>
    <w:rsid w:val="00EF5300"/>
    <w:rsid w:val="00EF53B5"/>
    <w:rsid w:val="00EF54E2"/>
    <w:rsid w:val="00EF5578"/>
    <w:rsid w:val="00EF5900"/>
    <w:rsid w:val="00EF5A00"/>
    <w:rsid w:val="00EF5E05"/>
    <w:rsid w:val="00EF5F8F"/>
    <w:rsid w:val="00EF5FFA"/>
    <w:rsid w:val="00EF6344"/>
    <w:rsid w:val="00EF640C"/>
    <w:rsid w:val="00EF664E"/>
    <w:rsid w:val="00EF72D4"/>
    <w:rsid w:val="00EF7555"/>
    <w:rsid w:val="00EF782D"/>
    <w:rsid w:val="00EF7988"/>
    <w:rsid w:val="00EF7AD9"/>
    <w:rsid w:val="00EF7C43"/>
    <w:rsid w:val="00EF7E0E"/>
    <w:rsid w:val="00EF7F91"/>
    <w:rsid w:val="00EF7FBA"/>
    <w:rsid w:val="00EF7FF9"/>
    <w:rsid w:val="00F001D1"/>
    <w:rsid w:val="00F00251"/>
    <w:rsid w:val="00F00660"/>
    <w:rsid w:val="00F008A3"/>
    <w:rsid w:val="00F0096E"/>
    <w:rsid w:val="00F00A1E"/>
    <w:rsid w:val="00F00BAE"/>
    <w:rsid w:val="00F00BE4"/>
    <w:rsid w:val="00F00F06"/>
    <w:rsid w:val="00F0103E"/>
    <w:rsid w:val="00F01168"/>
    <w:rsid w:val="00F01186"/>
    <w:rsid w:val="00F0126D"/>
    <w:rsid w:val="00F013E3"/>
    <w:rsid w:val="00F01411"/>
    <w:rsid w:val="00F0165D"/>
    <w:rsid w:val="00F01793"/>
    <w:rsid w:val="00F01817"/>
    <w:rsid w:val="00F01B85"/>
    <w:rsid w:val="00F01F20"/>
    <w:rsid w:val="00F022B3"/>
    <w:rsid w:val="00F02429"/>
    <w:rsid w:val="00F0270C"/>
    <w:rsid w:val="00F02ADA"/>
    <w:rsid w:val="00F02D6C"/>
    <w:rsid w:val="00F0345F"/>
    <w:rsid w:val="00F0352F"/>
    <w:rsid w:val="00F037A3"/>
    <w:rsid w:val="00F0380A"/>
    <w:rsid w:val="00F03813"/>
    <w:rsid w:val="00F038A7"/>
    <w:rsid w:val="00F038A8"/>
    <w:rsid w:val="00F03A5F"/>
    <w:rsid w:val="00F04321"/>
    <w:rsid w:val="00F044BF"/>
    <w:rsid w:val="00F04513"/>
    <w:rsid w:val="00F0458C"/>
    <w:rsid w:val="00F045B6"/>
    <w:rsid w:val="00F046D9"/>
    <w:rsid w:val="00F0470B"/>
    <w:rsid w:val="00F04719"/>
    <w:rsid w:val="00F048DA"/>
    <w:rsid w:val="00F04AAF"/>
    <w:rsid w:val="00F04BDC"/>
    <w:rsid w:val="00F04D39"/>
    <w:rsid w:val="00F04E3E"/>
    <w:rsid w:val="00F0517E"/>
    <w:rsid w:val="00F0540E"/>
    <w:rsid w:val="00F05555"/>
    <w:rsid w:val="00F05876"/>
    <w:rsid w:val="00F05A00"/>
    <w:rsid w:val="00F05A1E"/>
    <w:rsid w:val="00F05BCD"/>
    <w:rsid w:val="00F05ED8"/>
    <w:rsid w:val="00F06088"/>
    <w:rsid w:val="00F0610A"/>
    <w:rsid w:val="00F0615A"/>
    <w:rsid w:val="00F06185"/>
    <w:rsid w:val="00F06364"/>
    <w:rsid w:val="00F065E2"/>
    <w:rsid w:val="00F066C3"/>
    <w:rsid w:val="00F069AA"/>
    <w:rsid w:val="00F06B50"/>
    <w:rsid w:val="00F06CC8"/>
    <w:rsid w:val="00F06F33"/>
    <w:rsid w:val="00F0715F"/>
    <w:rsid w:val="00F072B3"/>
    <w:rsid w:val="00F075A0"/>
    <w:rsid w:val="00F075F7"/>
    <w:rsid w:val="00F079BB"/>
    <w:rsid w:val="00F079E0"/>
    <w:rsid w:val="00F07A0B"/>
    <w:rsid w:val="00F07B0C"/>
    <w:rsid w:val="00F07BF0"/>
    <w:rsid w:val="00F07C1E"/>
    <w:rsid w:val="00F07CC7"/>
    <w:rsid w:val="00F07CFE"/>
    <w:rsid w:val="00F07D13"/>
    <w:rsid w:val="00F10137"/>
    <w:rsid w:val="00F10154"/>
    <w:rsid w:val="00F1069E"/>
    <w:rsid w:val="00F107F2"/>
    <w:rsid w:val="00F10844"/>
    <w:rsid w:val="00F10AC1"/>
    <w:rsid w:val="00F10BD3"/>
    <w:rsid w:val="00F10FFF"/>
    <w:rsid w:val="00F11039"/>
    <w:rsid w:val="00F11375"/>
    <w:rsid w:val="00F114D2"/>
    <w:rsid w:val="00F11520"/>
    <w:rsid w:val="00F11526"/>
    <w:rsid w:val="00F11979"/>
    <w:rsid w:val="00F11C01"/>
    <w:rsid w:val="00F11E08"/>
    <w:rsid w:val="00F11E20"/>
    <w:rsid w:val="00F11E86"/>
    <w:rsid w:val="00F11F81"/>
    <w:rsid w:val="00F12018"/>
    <w:rsid w:val="00F120AB"/>
    <w:rsid w:val="00F12439"/>
    <w:rsid w:val="00F12444"/>
    <w:rsid w:val="00F12595"/>
    <w:rsid w:val="00F126C3"/>
    <w:rsid w:val="00F126E7"/>
    <w:rsid w:val="00F127BB"/>
    <w:rsid w:val="00F1299E"/>
    <w:rsid w:val="00F12A96"/>
    <w:rsid w:val="00F12B3A"/>
    <w:rsid w:val="00F12BA0"/>
    <w:rsid w:val="00F12CFC"/>
    <w:rsid w:val="00F12D9B"/>
    <w:rsid w:val="00F12FFF"/>
    <w:rsid w:val="00F1339D"/>
    <w:rsid w:val="00F133DE"/>
    <w:rsid w:val="00F13557"/>
    <w:rsid w:val="00F1359A"/>
    <w:rsid w:val="00F136D4"/>
    <w:rsid w:val="00F13896"/>
    <w:rsid w:val="00F13967"/>
    <w:rsid w:val="00F139A9"/>
    <w:rsid w:val="00F13C9B"/>
    <w:rsid w:val="00F1413A"/>
    <w:rsid w:val="00F14B4F"/>
    <w:rsid w:val="00F14C39"/>
    <w:rsid w:val="00F152CC"/>
    <w:rsid w:val="00F152E9"/>
    <w:rsid w:val="00F15469"/>
    <w:rsid w:val="00F15517"/>
    <w:rsid w:val="00F155EA"/>
    <w:rsid w:val="00F1584A"/>
    <w:rsid w:val="00F15970"/>
    <w:rsid w:val="00F159D7"/>
    <w:rsid w:val="00F15E44"/>
    <w:rsid w:val="00F1604D"/>
    <w:rsid w:val="00F16373"/>
    <w:rsid w:val="00F16B19"/>
    <w:rsid w:val="00F16C01"/>
    <w:rsid w:val="00F16EC9"/>
    <w:rsid w:val="00F17027"/>
    <w:rsid w:val="00F171FD"/>
    <w:rsid w:val="00F172BA"/>
    <w:rsid w:val="00F1761A"/>
    <w:rsid w:val="00F176A5"/>
    <w:rsid w:val="00F17864"/>
    <w:rsid w:val="00F1786D"/>
    <w:rsid w:val="00F179B2"/>
    <w:rsid w:val="00F17C71"/>
    <w:rsid w:val="00F17D09"/>
    <w:rsid w:val="00F17D5D"/>
    <w:rsid w:val="00F17D89"/>
    <w:rsid w:val="00F20185"/>
    <w:rsid w:val="00F20363"/>
    <w:rsid w:val="00F203CC"/>
    <w:rsid w:val="00F205CA"/>
    <w:rsid w:val="00F20670"/>
    <w:rsid w:val="00F2096A"/>
    <w:rsid w:val="00F20A4D"/>
    <w:rsid w:val="00F20B17"/>
    <w:rsid w:val="00F21394"/>
    <w:rsid w:val="00F216B7"/>
    <w:rsid w:val="00F2184E"/>
    <w:rsid w:val="00F218B4"/>
    <w:rsid w:val="00F21984"/>
    <w:rsid w:val="00F21AA7"/>
    <w:rsid w:val="00F21ABB"/>
    <w:rsid w:val="00F21B66"/>
    <w:rsid w:val="00F21D7C"/>
    <w:rsid w:val="00F22060"/>
    <w:rsid w:val="00F22109"/>
    <w:rsid w:val="00F2235C"/>
    <w:rsid w:val="00F223D9"/>
    <w:rsid w:val="00F22527"/>
    <w:rsid w:val="00F22528"/>
    <w:rsid w:val="00F2274C"/>
    <w:rsid w:val="00F227CD"/>
    <w:rsid w:val="00F228AC"/>
    <w:rsid w:val="00F22C9D"/>
    <w:rsid w:val="00F23056"/>
    <w:rsid w:val="00F23250"/>
    <w:rsid w:val="00F23329"/>
    <w:rsid w:val="00F23585"/>
    <w:rsid w:val="00F23B24"/>
    <w:rsid w:val="00F23C80"/>
    <w:rsid w:val="00F23D2A"/>
    <w:rsid w:val="00F23D7C"/>
    <w:rsid w:val="00F23DBF"/>
    <w:rsid w:val="00F240BE"/>
    <w:rsid w:val="00F241AB"/>
    <w:rsid w:val="00F241E4"/>
    <w:rsid w:val="00F24235"/>
    <w:rsid w:val="00F24465"/>
    <w:rsid w:val="00F24A4E"/>
    <w:rsid w:val="00F24AE2"/>
    <w:rsid w:val="00F24BAF"/>
    <w:rsid w:val="00F24DA9"/>
    <w:rsid w:val="00F24E6A"/>
    <w:rsid w:val="00F24F13"/>
    <w:rsid w:val="00F24F67"/>
    <w:rsid w:val="00F253BA"/>
    <w:rsid w:val="00F25418"/>
    <w:rsid w:val="00F256EE"/>
    <w:rsid w:val="00F25B8F"/>
    <w:rsid w:val="00F25C38"/>
    <w:rsid w:val="00F2638F"/>
    <w:rsid w:val="00F2671C"/>
    <w:rsid w:val="00F26724"/>
    <w:rsid w:val="00F26904"/>
    <w:rsid w:val="00F269F2"/>
    <w:rsid w:val="00F26A37"/>
    <w:rsid w:val="00F26AB0"/>
    <w:rsid w:val="00F26CA4"/>
    <w:rsid w:val="00F26CC6"/>
    <w:rsid w:val="00F26DB2"/>
    <w:rsid w:val="00F26DD2"/>
    <w:rsid w:val="00F26E6F"/>
    <w:rsid w:val="00F26EA6"/>
    <w:rsid w:val="00F27355"/>
    <w:rsid w:val="00F27407"/>
    <w:rsid w:val="00F2754F"/>
    <w:rsid w:val="00F276BC"/>
    <w:rsid w:val="00F278B3"/>
    <w:rsid w:val="00F2794E"/>
    <w:rsid w:val="00F27971"/>
    <w:rsid w:val="00F27A00"/>
    <w:rsid w:val="00F27B33"/>
    <w:rsid w:val="00F27B6A"/>
    <w:rsid w:val="00F27D17"/>
    <w:rsid w:val="00F27F20"/>
    <w:rsid w:val="00F30201"/>
    <w:rsid w:val="00F30343"/>
    <w:rsid w:val="00F30691"/>
    <w:rsid w:val="00F306B2"/>
    <w:rsid w:val="00F3081A"/>
    <w:rsid w:val="00F30836"/>
    <w:rsid w:val="00F308DB"/>
    <w:rsid w:val="00F30AA0"/>
    <w:rsid w:val="00F30BB7"/>
    <w:rsid w:val="00F3116E"/>
    <w:rsid w:val="00F311A4"/>
    <w:rsid w:val="00F31260"/>
    <w:rsid w:val="00F3156A"/>
    <w:rsid w:val="00F318C3"/>
    <w:rsid w:val="00F31A8A"/>
    <w:rsid w:val="00F31BF0"/>
    <w:rsid w:val="00F31CC9"/>
    <w:rsid w:val="00F31D68"/>
    <w:rsid w:val="00F31DCA"/>
    <w:rsid w:val="00F32659"/>
    <w:rsid w:val="00F32A08"/>
    <w:rsid w:val="00F32B1A"/>
    <w:rsid w:val="00F32E8B"/>
    <w:rsid w:val="00F330A3"/>
    <w:rsid w:val="00F330C4"/>
    <w:rsid w:val="00F3330F"/>
    <w:rsid w:val="00F334C7"/>
    <w:rsid w:val="00F3364B"/>
    <w:rsid w:val="00F3374D"/>
    <w:rsid w:val="00F33BF9"/>
    <w:rsid w:val="00F3402D"/>
    <w:rsid w:val="00F34186"/>
    <w:rsid w:val="00F34454"/>
    <w:rsid w:val="00F34ADE"/>
    <w:rsid w:val="00F34CE4"/>
    <w:rsid w:val="00F34DAF"/>
    <w:rsid w:val="00F35085"/>
    <w:rsid w:val="00F351EB"/>
    <w:rsid w:val="00F35260"/>
    <w:rsid w:val="00F356DB"/>
    <w:rsid w:val="00F357A4"/>
    <w:rsid w:val="00F358A6"/>
    <w:rsid w:val="00F359B8"/>
    <w:rsid w:val="00F35BF7"/>
    <w:rsid w:val="00F35D61"/>
    <w:rsid w:val="00F35D99"/>
    <w:rsid w:val="00F35DED"/>
    <w:rsid w:val="00F36018"/>
    <w:rsid w:val="00F3613B"/>
    <w:rsid w:val="00F36602"/>
    <w:rsid w:val="00F36825"/>
    <w:rsid w:val="00F36DC8"/>
    <w:rsid w:val="00F370C7"/>
    <w:rsid w:val="00F3711F"/>
    <w:rsid w:val="00F37219"/>
    <w:rsid w:val="00F375E6"/>
    <w:rsid w:val="00F37605"/>
    <w:rsid w:val="00F377AA"/>
    <w:rsid w:val="00F37A6F"/>
    <w:rsid w:val="00F37ABB"/>
    <w:rsid w:val="00F37CDF"/>
    <w:rsid w:val="00F37F42"/>
    <w:rsid w:val="00F37F74"/>
    <w:rsid w:val="00F40093"/>
    <w:rsid w:val="00F403A2"/>
    <w:rsid w:val="00F4052E"/>
    <w:rsid w:val="00F40813"/>
    <w:rsid w:val="00F40862"/>
    <w:rsid w:val="00F40993"/>
    <w:rsid w:val="00F40B3A"/>
    <w:rsid w:val="00F40B45"/>
    <w:rsid w:val="00F40C07"/>
    <w:rsid w:val="00F40D14"/>
    <w:rsid w:val="00F40D91"/>
    <w:rsid w:val="00F4120F"/>
    <w:rsid w:val="00F4121F"/>
    <w:rsid w:val="00F41229"/>
    <w:rsid w:val="00F41240"/>
    <w:rsid w:val="00F4147D"/>
    <w:rsid w:val="00F41557"/>
    <w:rsid w:val="00F416D1"/>
    <w:rsid w:val="00F4194D"/>
    <w:rsid w:val="00F41984"/>
    <w:rsid w:val="00F419BB"/>
    <w:rsid w:val="00F419C7"/>
    <w:rsid w:val="00F41B9F"/>
    <w:rsid w:val="00F41D51"/>
    <w:rsid w:val="00F41D71"/>
    <w:rsid w:val="00F41DA3"/>
    <w:rsid w:val="00F41EE3"/>
    <w:rsid w:val="00F41F5C"/>
    <w:rsid w:val="00F420BC"/>
    <w:rsid w:val="00F4233A"/>
    <w:rsid w:val="00F4249B"/>
    <w:rsid w:val="00F4260A"/>
    <w:rsid w:val="00F426B0"/>
    <w:rsid w:val="00F426F4"/>
    <w:rsid w:val="00F42D35"/>
    <w:rsid w:val="00F42F45"/>
    <w:rsid w:val="00F431AB"/>
    <w:rsid w:val="00F4331D"/>
    <w:rsid w:val="00F4342C"/>
    <w:rsid w:val="00F43685"/>
    <w:rsid w:val="00F436D4"/>
    <w:rsid w:val="00F43965"/>
    <w:rsid w:val="00F43A58"/>
    <w:rsid w:val="00F43BA8"/>
    <w:rsid w:val="00F43C9E"/>
    <w:rsid w:val="00F43DF2"/>
    <w:rsid w:val="00F44106"/>
    <w:rsid w:val="00F44437"/>
    <w:rsid w:val="00F44482"/>
    <w:rsid w:val="00F44548"/>
    <w:rsid w:val="00F446BA"/>
    <w:rsid w:val="00F447FC"/>
    <w:rsid w:val="00F44916"/>
    <w:rsid w:val="00F4498E"/>
    <w:rsid w:val="00F44AA5"/>
    <w:rsid w:val="00F44C5C"/>
    <w:rsid w:val="00F45511"/>
    <w:rsid w:val="00F45582"/>
    <w:rsid w:val="00F45606"/>
    <w:rsid w:val="00F45A3B"/>
    <w:rsid w:val="00F45BF2"/>
    <w:rsid w:val="00F45D89"/>
    <w:rsid w:val="00F45DB1"/>
    <w:rsid w:val="00F460A7"/>
    <w:rsid w:val="00F462CC"/>
    <w:rsid w:val="00F46512"/>
    <w:rsid w:val="00F46A94"/>
    <w:rsid w:val="00F46C29"/>
    <w:rsid w:val="00F46CB8"/>
    <w:rsid w:val="00F46EE9"/>
    <w:rsid w:val="00F473B1"/>
    <w:rsid w:val="00F47C30"/>
    <w:rsid w:val="00F47E5C"/>
    <w:rsid w:val="00F47FD2"/>
    <w:rsid w:val="00F500C9"/>
    <w:rsid w:val="00F504E9"/>
    <w:rsid w:val="00F504ED"/>
    <w:rsid w:val="00F507A6"/>
    <w:rsid w:val="00F50EA5"/>
    <w:rsid w:val="00F510D2"/>
    <w:rsid w:val="00F5133A"/>
    <w:rsid w:val="00F5138D"/>
    <w:rsid w:val="00F51B74"/>
    <w:rsid w:val="00F51DB8"/>
    <w:rsid w:val="00F51F55"/>
    <w:rsid w:val="00F521DC"/>
    <w:rsid w:val="00F52211"/>
    <w:rsid w:val="00F5222A"/>
    <w:rsid w:val="00F523B8"/>
    <w:rsid w:val="00F523BE"/>
    <w:rsid w:val="00F5265A"/>
    <w:rsid w:val="00F52AC0"/>
    <w:rsid w:val="00F52AE4"/>
    <w:rsid w:val="00F52AF3"/>
    <w:rsid w:val="00F52BE0"/>
    <w:rsid w:val="00F52C08"/>
    <w:rsid w:val="00F52D21"/>
    <w:rsid w:val="00F53017"/>
    <w:rsid w:val="00F53162"/>
    <w:rsid w:val="00F5339C"/>
    <w:rsid w:val="00F533DC"/>
    <w:rsid w:val="00F53556"/>
    <w:rsid w:val="00F53727"/>
    <w:rsid w:val="00F5376F"/>
    <w:rsid w:val="00F53A7B"/>
    <w:rsid w:val="00F53C7F"/>
    <w:rsid w:val="00F53F69"/>
    <w:rsid w:val="00F54270"/>
    <w:rsid w:val="00F5463D"/>
    <w:rsid w:val="00F547BF"/>
    <w:rsid w:val="00F548E4"/>
    <w:rsid w:val="00F549F2"/>
    <w:rsid w:val="00F54B17"/>
    <w:rsid w:val="00F54DB0"/>
    <w:rsid w:val="00F550E7"/>
    <w:rsid w:val="00F55473"/>
    <w:rsid w:val="00F556B2"/>
    <w:rsid w:val="00F55946"/>
    <w:rsid w:val="00F55A0E"/>
    <w:rsid w:val="00F55C14"/>
    <w:rsid w:val="00F55F0E"/>
    <w:rsid w:val="00F5619F"/>
    <w:rsid w:val="00F56243"/>
    <w:rsid w:val="00F5639D"/>
    <w:rsid w:val="00F56599"/>
    <w:rsid w:val="00F5673A"/>
    <w:rsid w:val="00F567EA"/>
    <w:rsid w:val="00F568DE"/>
    <w:rsid w:val="00F56B92"/>
    <w:rsid w:val="00F56C10"/>
    <w:rsid w:val="00F56F18"/>
    <w:rsid w:val="00F56FFB"/>
    <w:rsid w:val="00F57085"/>
    <w:rsid w:val="00F5713C"/>
    <w:rsid w:val="00F57257"/>
    <w:rsid w:val="00F577C5"/>
    <w:rsid w:val="00F5784B"/>
    <w:rsid w:val="00F57C41"/>
    <w:rsid w:val="00F57D64"/>
    <w:rsid w:val="00F57F10"/>
    <w:rsid w:val="00F57F31"/>
    <w:rsid w:val="00F6000B"/>
    <w:rsid w:val="00F60234"/>
    <w:rsid w:val="00F60392"/>
    <w:rsid w:val="00F60695"/>
    <w:rsid w:val="00F60757"/>
    <w:rsid w:val="00F609DF"/>
    <w:rsid w:val="00F60BEC"/>
    <w:rsid w:val="00F60E81"/>
    <w:rsid w:val="00F60FE7"/>
    <w:rsid w:val="00F6106F"/>
    <w:rsid w:val="00F61141"/>
    <w:rsid w:val="00F612E9"/>
    <w:rsid w:val="00F61AE2"/>
    <w:rsid w:val="00F61AEE"/>
    <w:rsid w:val="00F61FA5"/>
    <w:rsid w:val="00F621E0"/>
    <w:rsid w:val="00F62946"/>
    <w:rsid w:val="00F62A85"/>
    <w:rsid w:val="00F62C6E"/>
    <w:rsid w:val="00F62E21"/>
    <w:rsid w:val="00F63108"/>
    <w:rsid w:val="00F633E1"/>
    <w:rsid w:val="00F6387C"/>
    <w:rsid w:val="00F63903"/>
    <w:rsid w:val="00F63C46"/>
    <w:rsid w:val="00F64034"/>
    <w:rsid w:val="00F64293"/>
    <w:rsid w:val="00F642EE"/>
    <w:rsid w:val="00F6430B"/>
    <w:rsid w:val="00F64394"/>
    <w:rsid w:val="00F64537"/>
    <w:rsid w:val="00F645B9"/>
    <w:rsid w:val="00F64695"/>
    <w:rsid w:val="00F64990"/>
    <w:rsid w:val="00F649FC"/>
    <w:rsid w:val="00F64A4B"/>
    <w:rsid w:val="00F64A92"/>
    <w:rsid w:val="00F65043"/>
    <w:rsid w:val="00F6505F"/>
    <w:rsid w:val="00F6513F"/>
    <w:rsid w:val="00F653CE"/>
    <w:rsid w:val="00F65497"/>
    <w:rsid w:val="00F6554B"/>
    <w:rsid w:val="00F6561E"/>
    <w:rsid w:val="00F65734"/>
    <w:rsid w:val="00F658FC"/>
    <w:rsid w:val="00F6595C"/>
    <w:rsid w:val="00F659F7"/>
    <w:rsid w:val="00F65C53"/>
    <w:rsid w:val="00F6615D"/>
    <w:rsid w:val="00F6620C"/>
    <w:rsid w:val="00F66410"/>
    <w:rsid w:val="00F6646F"/>
    <w:rsid w:val="00F664A1"/>
    <w:rsid w:val="00F665D8"/>
    <w:rsid w:val="00F6683D"/>
    <w:rsid w:val="00F66CC0"/>
    <w:rsid w:val="00F66D6A"/>
    <w:rsid w:val="00F66FB4"/>
    <w:rsid w:val="00F670A8"/>
    <w:rsid w:val="00F670DB"/>
    <w:rsid w:val="00F672F5"/>
    <w:rsid w:val="00F67426"/>
    <w:rsid w:val="00F67449"/>
    <w:rsid w:val="00F67473"/>
    <w:rsid w:val="00F6763E"/>
    <w:rsid w:val="00F67727"/>
    <w:rsid w:val="00F67812"/>
    <w:rsid w:val="00F678CA"/>
    <w:rsid w:val="00F678CC"/>
    <w:rsid w:val="00F67974"/>
    <w:rsid w:val="00F67990"/>
    <w:rsid w:val="00F67AFE"/>
    <w:rsid w:val="00F67CD2"/>
    <w:rsid w:val="00F67EAE"/>
    <w:rsid w:val="00F67F39"/>
    <w:rsid w:val="00F67F5B"/>
    <w:rsid w:val="00F67FB8"/>
    <w:rsid w:val="00F67FFA"/>
    <w:rsid w:val="00F7010E"/>
    <w:rsid w:val="00F70239"/>
    <w:rsid w:val="00F7029E"/>
    <w:rsid w:val="00F702FF"/>
    <w:rsid w:val="00F70572"/>
    <w:rsid w:val="00F70643"/>
    <w:rsid w:val="00F706F7"/>
    <w:rsid w:val="00F707F1"/>
    <w:rsid w:val="00F70B05"/>
    <w:rsid w:val="00F70E2B"/>
    <w:rsid w:val="00F70E97"/>
    <w:rsid w:val="00F710FE"/>
    <w:rsid w:val="00F71209"/>
    <w:rsid w:val="00F71216"/>
    <w:rsid w:val="00F7121C"/>
    <w:rsid w:val="00F71249"/>
    <w:rsid w:val="00F71470"/>
    <w:rsid w:val="00F7168A"/>
    <w:rsid w:val="00F71767"/>
    <w:rsid w:val="00F71844"/>
    <w:rsid w:val="00F71851"/>
    <w:rsid w:val="00F7188A"/>
    <w:rsid w:val="00F72033"/>
    <w:rsid w:val="00F72333"/>
    <w:rsid w:val="00F723C4"/>
    <w:rsid w:val="00F72486"/>
    <w:rsid w:val="00F72716"/>
    <w:rsid w:val="00F72796"/>
    <w:rsid w:val="00F727B6"/>
    <w:rsid w:val="00F728CE"/>
    <w:rsid w:val="00F72A37"/>
    <w:rsid w:val="00F72E40"/>
    <w:rsid w:val="00F72F2F"/>
    <w:rsid w:val="00F73046"/>
    <w:rsid w:val="00F73163"/>
    <w:rsid w:val="00F7337C"/>
    <w:rsid w:val="00F7350D"/>
    <w:rsid w:val="00F737A3"/>
    <w:rsid w:val="00F7383E"/>
    <w:rsid w:val="00F73DA9"/>
    <w:rsid w:val="00F741D1"/>
    <w:rsid w:val="00F74664"/>
    <w:rsid w:val="00F74999"/>
    <w:rsid w:val="00F74AB3"/>
    <w:rsid w:val="00F74B4B"/>
    <w:rsid w:val="00F74FA4"/>
    <w:rsid w:val="00F757F0"/>
    <w:rsid w:val="00F7588F"/>
    <w:rsid w:val="00F7593B"/>
    <w:rsid w:val="00F75AD5"/>
    <w:rsid w:val="00F75BC0"/>
    <w:rsid w:val="00F75E19"/>
    <w:rsid w:val="00F7621D"/>
    <w:rsid w:val="00F76392"/>
    <w:rsid w:val="00F764AB"/>
    <w:rsid w:val="00F767D3"/>
    <w:rsid w:val="00F769B3"/>
    <w:rsid w:val="00F76B47"/>
    <w:rsid w:val="00F76CD9"/>
    <w:rsid w:val="00F76D55"/>
    <w:rsid w:val="00F77083"/>
    <w:rsid w:val="00F770A7"/>
    <w:rsid w:val="00F772A2"/>
    <w:rsid w:val="00F77324"/>
    <w:rsid w:val="00F77445"/>
    <w:rsid w:val="00F77466"/>
    <w:rsid w:val="00F7750D"/>
    <w:rsid w:val="00F775CC"/>
    <w:rsid w:val="00F77777"/>
    <w:rsid w:val="00F777B3"/>
    <w:rsid w:val="00F77A03"/>
    <w:rsid w:val="00F77BCF"/>
    <w:rsid w:val="00F77DCD"/>
    <w:rsid w:val="00F77E0E"/>
    <w:rsid w:val="00F77FB8"/>
    <w:rsid w:val="00F8002C"/>
    <w:rsid w:val="00F80038"/>
    <w:rsid w:val="00F8010C"/>
    <w:rsid w:val="00F80220"/>
    <w:rsid w:val="00F80694"/>
    <w:rsid w:val="00F807FD"/>
    <w:rsid w:val="00F807FF"/>
    <w:rsid w:val="00F8097F"/>
    <w:rsid w:val="00F80A40"/>
    <w:rsid w:val="00F80D12"/>
    <w:rsid w:val="00F80DA8"/>
    <w:rsid w:val="00F80E60"/>
    <w:rsid w:val="00F80F6E"/>
    <w:rsid w:val="00F80FB6"/>
    <w:rsid w:val="00F8124E"/>
    <w:rsid w:val="00F81275"/>
    <w:rsid w:val="00F81543"/>
    <w:rsid w:val="00F815BD"/>
    <w:rsid w:val="00F8183F"/>
    <w:rsid w:val="00F81857"/>
    <w:rsid w:val="00F818BF"/>
    <w:rsid w:val="00F819F3"/>
    <w:rsid w:val="00F81BBD"/>
    <w:rsid w:val="00F81BD8"/>
    <w:rsid w:val="00F81E11"/>
    <w:rsid w:val="00F81FD9"/>
    <w:rsid w:val="00F820FA"/>
    <w:rsid w:val="00F822C2"/>
    <w:rsid w:val="00F823D0"/>
    <w:rsid w:val="00F826C0"/>
    <w:rsid w:val="00F82AD8"/>
    <w:rsid w:val="00F82C05"/>
    <w:rsid w:val="00F82C9A"/>
    <w:rsid w:val="00F82CD4"/>
    <w:rsid w:val="00F82D4A"/>
    <w:rsid w:val="00F82F3F"/>
    <w:rsid w:val="00F83056"/>
    <w:rsid w:val="00F83076"/>
    <w:rsid w:val="00F830E2"/>
    <w:rsid w:val="00F8315B"/>
    <w:rsid w:val="00F831D4"/>
    <w:rsid w:val="00F83280"/>
    <w:rsid w:val="00F83281"/>
    <w:rsid w:val="00F833A0"/>
    <w:rsid w:val="00F8341F"/>
    <w:rsid w:val="00F8372B"/>
    <w:rsid w:val="00F837CE"/>
    <w:rsid w:val="00F83817"/>
    <w:rsid w:val="00F83F9B"/>
    <w:rsid w:val="00F8462B"/>
    <w:rsid w:val="00F846D9"/>
    <w:rsid w:val="00F8498D"/>
    <w:rsid w:val="00F84AE0"/>
    <w:rsid w:val="00F84B84"/>
    <w:rsid w:val="00F84BDC"/>
    <w:rsid w:val="00F84BFB"/>
    <w:rsid w:val="00F84CE1"/>
    <w:rsid w:val="00F84EE0"/>
    <w:rsid w:val="00F85053"/>
    <w:rsid w:val="00F85065"/>
    <w:rsid w:val="00F8521F"/>
    <w:rsid w:val="00F8524B"/>
    <w:rsid w:val="00F8545D"/>
    <w:rsid w:val="00F854E1"/>
    <w:rsid w:val="00F85550"/>
    <w:rsid w:val="00F85909"/>
    <w:rsid w:val="00F859FF"/>
    <w:rsid w:val="00F85A39"/>
    <w:rsid w:val="00F85D3C"/>
    <w:rsid w:val="00F85EB8"/>
    <w:rsid w:val="00F86124"/>
    <w:rsid w:val="00F8618D"/>
    <w:rsid w:val="00F862D4"/>
    <w:rsid w:val="00F863C7"/>
    <w:rsid w:val="00F86673"/>
    <w:rsid w:val="00F867BD"/>
    <w:rsid w:val="00F86AF5"/>
    <w:rsid w:val="00F86FAC"/>
    <w:rsid w:val="00F8709B"/>
    <w:rsid w:val="00F873B7"/>
    <w:rsid w:val="00F87BAD"/>
    <w:rsid w:val="00F87CB0"/>
    <w:rsid w:val="00F87DD4"/>
    <w:rsid w:val="00F87E63"/>
    <w:rsid w:val="00F90CB2"/>
    <w:rsid w:val="00F90D86"/>
    <w:rsid w:val="00F90EDC"/>
    <w:rsid w:val="00F90FCB"/>
    <w:rsid w:val="00F9116F"/>
    <w:rsid w:val="00F91176"/>
    <w:rsid w:val="00F91304"/>
    <w:rsid w:val="00F9156E"/>
    <w:rsid w:val="00F915BA"/>
    <w:rsid w:val="00F91855"/>
    <w:rsid w:val="00F91AAC"/>
    <w:rsid w:val="00F91AD1"/>
    <w:rsid w:val="00F91F18"/>
    <w:rsid w:val="00F91FF7"/>
    <w:rsid w:val="00F92378"/>
    <w:rsid w:val="00F92917"/>
    <w:rsid w:val="00F92CA0"/>
    <w:rsid w:val="00F92CC5"/>
    <w:rsid w:val="00F92DB5"/>
    <w:rsid w:val="00F92EB0"/>
    <w:rsid w:val="00F92FC8"/>
    <w:rsid w:val="00F93029"/>
    <w:rsid w:val="00F9304B"/>
    <w:rsid w:val="00F936C8"/>
    <w:rsid w:val="00F93845"/>
    <w:rsid w:val="00F93893"/>
    <w:rsid w:val="00F939D5"/>
    <w:rsid w:val="00F93A3C"/>
    <w:rsid w:val="00F93A70"/>
    <w:rsid w:val="00F93BA9"/>
    <w:rsid w:val="00F93C53"/>
    <w:rsid w:val="00F93D08"/>
    <w:rsid w:val="00F93D66"/>
    <w:rsid w:val="00F93DF4"/>
    <w:rsid w:val="00F94091"/>
    <w:rsid w:val="00F940BC"/>
    <w:rsid w:val="00F941B6"/>
    <w:rsid w:val="00F944B3"/>
    <w:rsid w:val="00F94780"/>
    <w:rsid w:val="00F94840"/>
    <w:rsid w:val="00F948E5"/>
    <w:rsid w:val="00F9495E"/>
    <w:rsid w:val="00F94ABE"/>
    <w:rsid w:val="00F94CCB"/>
    <w:rsid w:val="00F94DBF"/>
    <w:rsid w:val="00F950DB"/>
    <w:rsid w:val="00F9528D"/>
    <w:rsid w:val="00F9534F"/>
    <w:rsid w:val="00F95456"/>
    <w:rsid w:val="00F95575"/>
    <w:rsid w:val="00F95776"/>
    <w:rsid w:val="00F957C3"/>
    <w:rsid w:val="00F957F3"/>
    <w:rsid w:val="00F95B30"/>
    <w:rsid w:val="00F95C0F"/>
    <w:rsid w:val="00F95C17"/>
    <w:rsid w:val="00F95E6C"/>
    <w:rsid w:val="00F96428"/>
    <w:rsid w:val="00F965B3"/>
    <w:rsid w:val="00F9667B"/>
    <w:rsid w:val="00F96886"/>
    <w:rsid w:val="00F9692F"/>
    <w:rsid w:val="00F96B1F"/>
    <w:rsid w:val="00F96B65"/>
    <w:rsid w:val="00F96BAC"/>
    <w:rsid w:val="00F96C8E"/>
    <w:rsid w:val="00F97145"/>
    <w:rsid w:val="00F97248"/>
    <w:rsid w:val="00F973DE"/>
    <w:rsid w:val="00F97522"/>
    <w:rsid w:val="00F9764E"/>
    <w:rsid w:val="00F97895"/>
    <w:rsid w:val="00F97E36"/>
    <w:rsid w:val="00F97F2D"/>
    <w:rsid w:val="00FA005F"/>
    <w:rsid w:val="00FA05F1"/>
    <w:rsid w:val="00FA06B7"/>
    <w:rsid w:val="00FA07EF"/>
    <w:rsid w:val="00FA0939"/>
    <w:rsid w:val="00FA0C66"/>
    <w:rsid w:val="00FA0CE1"/>
    <w:rsid w:val="00FA0E15"/>
    <w:rsid w:val="00FA0FD8"/>
    <w:rsid w:val="00FA10AF"/>
    <w:rsid w:val="00FA113B"/>
    <w:rsid w:val="00FA1236"/>
    <w:rsid w:val="00FA1A5A"/>
    <w:rsid w:val="00FA1C53"/>
    <w:rsid w:val="00FA1CF0"/>
    <w:rsid w:val="00FA1EEB"/>
    <w:rsid w:val="00FA1F87"/>
    <w:rsid w:val="00FA2014"/>
    <w:rsid w:val="00FA214D"/>
    <w:rsid w:val="00FA21CB"/>
    <w:rsid w:val="00FA21FF"/>
    <w:rsid w:val="00FA226D"/>
    <w:rsid w:val="00FA241A"/>
    <w:rsid w:val="00FA242A"/>
    <w:rsid w:val="00FA24E6"/>
    <w:rsid w:val="00FA2881"/>
    <w:rsid w:val="00FA29E6"/>
    <w:rsid w:val="00FA2AD3"/>
    <w:rsid w:val="00FA2C52"/>
    <w:rsid w:val="00FA2E3B"/>
    <w:rsid w:val="00FA2EF1"/>
    <w:rsid w:val="00FA30E7"/>
    <w:rsid w:val="00FA319F"/>
    <w:rsid w:val="00FA3276"/>
    <w:rsid w:val="00FA32CC"/>
    <w:rsid w:val="00FA331A"/>
    <w:rsid w:val="00FA33C4"/>
    <w:rsid w:val="00FA3419"/>
    <w:rsid w:val="00FA350F"/>
    <w:rsid w:val="00FA3986"/>
    <w:rsid w:val="00FA3B82"/>
    <w:rsid w:val="00FA3C65"/>
    <w:rsid w:val="00FA3F20"/>
    <w:rsid w:val="00FA3FA9"/>
    <w:rsid w:val="00FA417B"/>
    <w:rsid w:val="00FA446F"/>
    <w:rsid w:val="00FA44E5"/>
    <w:rsid w:val="00FA464F"/>
    <w:rsid w:val="00FA4790"/>
    <w:rsid w:val="00FA47C9"/>
    <w:rsid w:val="00FA4D94"/>
    <w:rsid w:val="00FA4E44"/>
    <w:rsid w:val="00FA50C6"/>
    <w:rsid w:val="00FA5104"/>
    <w:rsid w:val="00FA51A1"/>
    <w:rsid w:val="00FA55C3"/>
    <w:rsid w:val="00FA5A1F"/>
    <w:rsid w:val="00FA5C2B"/>
    <w:rsid w:val="00FA5D7C"/>
    <w:rsid w:val="00FA5DDA"/>
    <w:rsid w:val="00FA5F3F"/>
    <w:rsid w:val="00FA6390"/>
    <w:rsid w:val="00FA6901"/>
    <w:rsid w:val="00FA6A91"/>
    <w:rsid w:val="00FA6ABD"/>
    <w:rsid w:val="00FA6AC1"/>
    <w:rsid w:val="00FA6AC6"/>
    <w:rsid w:val="00FA6C5F"/>
    <w:rsid w:val="00FA6E52"/>
    <w:rsid w:val="00FA6F93"/>
    <w:rsid w:val="00FA7648"/>
    <w:rsid w:val="00FA76C7"/>
    <w:rsid w:val="00FA7986"/>
    <w:rsid w:val="00FA79E9"/>
    <w:rsid w:val="00FA7B82"/>
    <w:rsid w:val="00FB013A"/>
    <w:rsid w:val="00FB01A2"/>
    <w:rsid w:val="00FB0560"/>
    <w:rsid w:val="00FB0723"/>
    <w:rsid w:val="00FB072C"/>
    <w:rsid w:val="00FB0B59"/>
    <w:rsid w:val="00FB0C5F"/>
    <w:rsid w:val="00FB0CAA"/>
    <w:rsid w:val="00FB0CAC"/>
    <w:rsid w:val="00FB0D04"/>
    <w:rsid w:val="00FB0D62"/>
    <w:rsid w:val="00FB1A2E"/>
    <w:rsid w:val="00FB1E4B"/>
    <w:rsid w:val="00FB2346"/>
    <w:rsid w:val="00FB2583"/>
    <w:rsid w:val="00FB2A92"/>
    <w:rsid w:val="00FB2B9D"/>
    <w:rsid w:val="00FB2C01"/>
    <w:rsid w:val="00FB2C10"/>
    <w:rsid w:val="00FB2C1E"/>
    <w:rsid w:val="00FB2D99"/>
    <w:rsid w:val="00FB323E"/>
    <w:rsid w:val="00FB3266"/>
    <w:rsid w:val="00FB36A9"/>
    <w:rsid w:val="00FB40D3"/>
    <w:rsid w:val="00FB4776"/>
    <w:rsid w:val="00FB4B9A"/>
    <w:rsid w:val="00FB4DCB"/>
    <w:rsid w:val="00FB4E59"/>
    <w:rsid w:val="00FB4F55"/>
    <w:rsid w:val="00FB505D"/>
    <w:rsid w:val="00FB53A5"/>
    <w:rsid w:val="00FB546E"/>
    <w:rsid w:val="00FB556A"/>
    <w:rsid w:val="00FB59B0"/>
    <w:rsid w:val="00FB5D0A"/>
    <w:rsid w:val="00FB5D5E"/>
    <w:rsid w:val="00FB5F0D"/>
    <w:rsid w:val="00FB60A3"/>
    <w:rsid w:val="00FB619B"/>
    <w:rsid w:val="00FB6E56"/>
    <w:rsid w:val="00FB70D1"/>
    <w:rsid w:val="00FB7153"/>
    <w:rsid w:val="00FB736E"/>
    <w:rsid w:val="00FB73DD"/>
    <w:rsid w:val="00FB754E"/>
    <w:rsid w:val="00FB75DD"/>
    <w:rsid w:val="00FB768D"/>
    <w:rsid w:val="00FB775D"/>
    <w:rsid w:val="00FB7AF3"/>
    <w:rsid w:val="00FB7E06"/>
    <w:rsid w:val="00FC00DC"/>
    <w:rsid w:val="00FC0117"/>
    <w:rsid w:val="00FC01CB"/>
    <w:rsid w:val="00FC028A"/>
    <w:rsid w:val="00FC032D"/>
    <w:rsid w:val="00FC0330"/>
    <w:rsid w:val="00FC0358"/>
    <w:rsid w:val="00FC09B3"/>
    <w:rsid w:val="00FC0A18"/>
    <w:rsid w:val="00FC0A22"/>
    <w:rsid w:val="00FC0AB1"/>
    <w:rsid w:val="00FC0BEB"/>
    <w:rsid w:val="00FC0EC4"/>
    <w:rsid w:val="00FC1054"/>
    <w:rsid w:val="00FC10C1"/>
    <w:rsid w:val="00FC1285"/>
    <w:rsid w:val="00FC14C4"/>
    <w:rsid w:val="00FC1639"/>
    <w:rsid w:val="00FC174C"/>
    <w:rsid w:val="00FC1A11"/>
    <w:rsid w:val="00FC1A19"/>
    <w:rsid w:val="00FC208B"/>
    <w:rsid w:val="00FC223A"/>
    <w:rsid w:val="00FC2500"/>
    <w:rsid w:val="00FC25D3"/>
    <w:rsid w:val="00FC26F2"/>
    <w:rsid w:val="00FC2731"/>
    <w:rsid w:val="00FC2AE2"/>
    <w:rsid w:val="00FC2BC6"/>
    <w:rsid w:val="00FC2D87"/>
    <w:rsid w:val="00FC3054"/>
    <w:rsid w:val="00FC30B3"/>
    <w:rsid w:val="00FC3160"/>
    <w:rsid w:val="00FC3229"/>
    <w:rsid w:val="00FC32D6"/>
    <w:rsid w:val="00FC3476"/>
    <w:rsid w:val="00FC35CD"/>
    <w:rsid w:val="00FC379A"/>
    <w:rsid w:val="00FC39D5"/>
    <w:rsid w:val="00FC3A50"/>
    <w:rsid w:val="00FC3A6F"/>
    <w:rsid w:val="00FC3D3F"/>
    <w:rsid w:val="00FC3D62"/>
    <w:rsid w:val="00FC3D65"/>
    <w:rsid w:val="00FC3DA8"/>
    <w:rsid w:val="00FC3EA5"/>
    <w:rsid w:val="00FC41F7"/>
    <w:rsid w:val="00FC4474"/>
    <w:rsid w:val="00FC46B7"/>
    <w:rsid w:val="00FC492A"/>
    <w:rsid w:val="00FC4962"/>
    <w:rsid w:val="00FC4B9B"/>
    <w:rsid w:val="00FC4C29"/>
    <w:rsid w:val="00FC4CD8"/>
    <w:rsid w:val="00FC502B"/>
    <w:rsid w:val="00FC5155"/>
    <w:rsid w:val="00FC528E"/>
    <w:rsid w:val="00FC5338"/>
    <w:rsid w:val="00FC5403"/>
    <w:rsid w:val="00FC5479"/>
    <w:rsid w:val="00FC56BC"/>
    <w:rsid w:val="00FC56DC"/>
    <w:rsid w:val="00FC5AEB"/>
    <w:rsid w:val="00FC5BD1"/>
    <w:rsid w:val="00FC5E67"/>
    <w:rsid w:val="00FC5FC7"/>
    <w:rsid w:val="00FC646F"/>
    <w:rsid w:val="00FC65B4"/>
    <w:rsid w:val="00FC6612"/>
    <w:rsid w:val="00FC66C3"/>
    <w:rsid w:val="00FC6727"/>
    <w:rsid w:val="00FC67B8"/>
    <w:rsid w:val="00FC6AB3"/>
    <w:rsid w:val="00FC6E57"/>
    <w:rsid w:val="00FC709B"/>
    <w:rsid w:val="00FC71D4"/>
    <w:rsid w:val="00FC7241"/>
    <w:rsid w:val="00FC73BF"/>
    <w:rsid w:val="00FC73D7"/>
    <w:rsid w:val="00FC7509"/>
    <w:rsid w:val="00FC7511"/>
    <w:rsid w:val="00FC7891"/>
    <w:rsid w:val="00FC7A0C"/>
    <w:rsid w:val="00FC7F5B"/>
    <w:rsid w:val="00FD0093"/>
    <w:rsid w:val="00FD01AC"/>
    <w:rsid w:val="00FD037D"/>
    <w:rsid w:val="00FD038C"/>
    <w:rsid w:val="00FD03F9"/>
    <w:rsid w:val="00FD05C1"/>
    <w:rsid w:val="00FD0B9E"/>
    <w:rsid w:val="00FD0F59"/>
    <w:rsid w:val="00FD1199"/>
    <w:rsid w:val="00FD1405"/>
    <w:rsid w:val="00FD14AC"/>
    <w:rsid w:val="00FD15E8"/>
    <w:rsid w:val="00FD1763"/>
    <w:rsid w:val="00FD18A4"/>
    <w:rsid w:val="00FD1956"/>
    <w:rsid w:val="00FD19A4"/>
    <w:rsid w:val="00FD1A42"/>
    <w:rsid w:val="00FD1C11"/>
    <w:rsid w:val="00FD1C9D"/>
    <w:rsid w:val="00FD1D08"/>
    <w:rsid w:val="00FD1D74"/>
    <w:rsid w:val="00FD2058"/>
    <w:rsid w:val="00FD210A"/>
    <w:rsid w:val="00FD2586"/>
    <w:rsid w:val="00FD25F6"/>
    <w:rsid w:val="00FD284B"/>
    <w:rsid w:val="00FD285F"/>
    <w:rsid w:val="00FD286B"/>
    <w:rsid w:val="00FD28D9"/>
    <w:rsid w:val="00FD2959"/>
    <w:rsid w:val="00FD2962"/>
    <w:rsid w:val="00FD296C"/>
    <w:rsid w:val="00FD2B23"/>
    <w:rsid w:val="00FD2C39"/>
    <w:rsid w:val="00FD2C71"/>
    <w:rsid w:val="00FD2E2D"/>
    <w:rsid w:val="00FD3317"/>
    <w:rsid w:val="00FD339D"/>
    <w:rsid w:val="00FD33BE"/>
    <w:rsid w:val="00FD3494"/>
    <w:rsid w:val="00FD3734"/>
    <w:rsid w:val="00FD382C"/>
    <w:rsid w:val="00FD389D"/>
    <w:rsid w:val="00FD3A1F"/>
    <w:rsid w:val="00FD3B8C"/>
    <w:rsid w:val="00FD3C7F"/>
    <w:rsid w:val="00FD3CA3"/>
    <w:rsid w:val="00FD3DF6"/>
    <w:rsid w:val="00FD3EE3"/>
    <w:rsid w:val="00FD3F37"/>
    <w:rsid w:val="00FD47D2"/>
    <w:rsid w:val="00FD496A"/>
    <w:rsid w:val="00FD4D53"/>
    <w:rsid w:val="00FD4E21"/>
    <w:rsid w:val="00FD4EA1"/>
    <w:rsid w:val="00FD4F55"/>
    <w:rsid w:val="00FD506E"/>
    <w:rsid w:val="00FD51D4"/>
    <w:rsid w:val="00FD5377"/>
    <w:rsid w:val="00FD5531"/>
    <w:rsid w:val="00FD58F5"/>
    <w:rsid w:val="00FD5908"/>
    <w:rsid w:val="00FD5A2C"/>
    <w:rsid w:val="00FD5B4C"/>
    <w:rsid w:val="00FD5D63"/>
    <w:rsid w:val="00FD5F3E"/>
    <w:rsid w:val="00FD5F81"/>
    <w:rsid w:val="00FD61C5"/>
    <w:rsid w:val="00FD6358"/>
    <w:rsid w:val="00FD67E9"/>
    <w:rsid w:val="00FD6B47"/>
    <w:rsid w:val="00FD6E4F"/>
    <w:rsid w:val="00FD6FD7"/>
    <w:rsid w:val="00FD7690"/>
    <w:rsid w:val="00FD777C"/>
    <w:rsid w:val="00FD7935"/>
    <w:rsid w:val="00FD7965"/>
    <w:rsid w:val="00FD7A50"/>
    <w:rsid w:val="00FD7BC7"/>
    <w:rsid w:val="00FE0008"/>
    <w:rsid w:val="00FE0179"/>
    <w:rsid w:val="00FE0576"/>
    <w:rsid w:val="00FE05F0"/>
    <w:rsid w:val="00FE0B19"/>
    <w:rsid w:val="00FE0C24"/>
    <w:rsid w:val="00FE0CDF"/>
    <w:rsid w:val="00FE19DC"/>
    <w:rsid w:val="00FE1C2A"/>
    <w:rsid w:val="00FE1D94"/>
    <w:rsid w:val="00FE1DFC"/>
    <w:rsid w:val="00FE2093"/>
    <w:rsid w:val="00FE2134"/>
    <w:rsid w:val="00FE23AC"/>
    <w:rsid w:val="00FE242C"/>
    <w:rsid w:val="00FE24A3"/>
    <w:rsid w:val="00FE26F0"/>
    <w:rsid w:val="00FE2742"/>
    <w:rsid w:val="00FE27A4"/>
    <w:rsid w:val="00FE2A70"/>
    <w:rsid w:val="00FE2B49"/>
    <w:rsid w:val="00FE2B51"/>
    <w:rsid w:val="00FE2C0F"/>
    <w:rsid w:val="00FE2D3E"/>
    <w:rsid w:val="00FE2DC8"/>
    <w:rsid w:val="00FE3209"/>
    <w:rsid w:val="00FE326D"/>
    <w:rsid w:val="00FE33DE"/>
    <w:rsid w:val="00FE34DF"/>
    <w:rsid w:val="00FE3566"/>
    <w:rsid w:val="00FE365D"/>
    <w:rsid w:val="00FE389F"/>
    <w:rsid w:val="00FE3C94"/>
    <w:rsid w:val="00FE3D03"/>
    <w:rsid w:val="00FE3DF3"/>
    <w:rsid w:val="00FE3E6F"/>
    <w:rsid w:val="00FE3EBD"/>
    <w:rsid w:val="00FE4085"/>
    <w:rsid w:val="00FE40C0"/>
    <w:rsid w:val="00FE41D4"/>
    <w:rsid w:val="00FE481F"/>
    <w:rsid w:val="00FE495D"/>
    <w:rsid w:val="00FE4991"/>
    <w:rsid w:val="00FE4E8C"/>
    <w:rsid w:val="00FE4F20"/>
    <w:rsid w:val="00FE4F77"/>
    <w:rsid w:val="00FE5249"/>
    <w:rsid w:val="00FE5378"/>
    <w:rsid w:val="00FE5A17"/>
    <w:rsid w:val="00FE5A7F"/>
    <w:rsid w:val="00FE5DBF"/>
    <w:rsid w:val="00FE5F94"/>
    <w:rsid w:val="00FE6072"/>
    <w:rsid w:val="00FE685C"/>
    <w:rsid w:val="00FE70CD"/>
    <w:rsid w:val="00FE7171"/>
    <w:rsid w:val="00FE7230"/>
    <w:rsid w:val="00FE72B8"/>
    <w:rsid w:val="00FE7927"/>
    <w:rsid w:val="00FE7BE3"/>
    <w:rsid w:val="00FE7D3E"/>
    <w:rsid w:val="00FF01E4"/>
    <w:rsid w:val="00FF0240"/>
    <w:rsid w:val="00FF02EA"/>
    <w:rsid w:val="00FF045F"/>
    <w:rsid w:val="00FF05F0"/>
    <w:rsid w:val="00FF06AD"/>
    <w:rsid w:val="00FF071C"/>
    <w:rsid w:val="00FF0B67"/>
    <w:rsid w:val="00FF0B9A"/>
    <w:rsid w:val="00FF0CF3"/>
    <w:rsid w:val="00FF0F96"/>
    <w:rsid w:val="00FF1014"/>
    <w:rsid w:val="00FF1098"/>
    <w:rsid w:val="00FF10A1"/>
    <w:rsid w:val="00FF11C8"/>
    <w:rsid w:val="00FF125B"/>
    <w:rsid w:val="00FF1784"/>
    <w:rsid w:val="00FF1845"/>
    <w:rsid w:val="00FF195B"/>
    <w:rsid w:val="00FF1A85"/>
    <w:rsid w:val="00FF1C9D"/>
    <w:rsid w:val="00FF239F"/>
    <w:rsid w:val="00FF25CF"/>
    <w:rsid w:val="00FF2737"/>
    <w:rsid w:val="00FF290E"/>
    <w:rsid w:val="00FF2ABD"/>
    <w:rsid w:val="00FF2D9F"/>
    <w:rsid w:val="00FF2E3F"/>
    <w:rsid w:val="00FF3227"/>
    <w:rsid w:val="00FF3352"/>
    <w:rsid w:val="00FF33EC"/>
    <w:rsid w:val="00FF34A7"/>
    <w:rsid w:val="00FF3631"/>
    <w:rsid w:val="00FF36B7"/>
    <w:rsid w:val="00FF370E"/>
    <w:rsid w:val="00FF3976"/>
    <w:rsid w:val="00FF3B85"/>
    <w:rsid w:val="00FF3B9E"/>
    <w:rsid w:val="00FF3D2A"/>
    <w:rsid w:val="00FF3E6B"/>
    <w:rsid w:val="00FF3FFA"/>
    <w:rsid w:val="00FF4072"/>
    <w:rsid w:val="00FF42B5"/>
    <w:rsid w:val="00FF44C9"/>
    <w:rsid w:val="00FF44F0"/>
    <w:rsid w:val="00FF4549"/>
    <w:rsid w:val="00FF4786"/>
    <w:rsid w:val="00FF4787"/>
    <w:rsid w:val="00FF4939"/>
    <w:rsid w:val="00FF4D85"/>
    <w:rsid w:val="00FF526D"/>
    <w:rsid w:val="00FF54A8"/>
    <w:rsid w:val="00FF5846"/>
    <w:rsid w:val="00FF58F5"/>
    <w:rsid w:val="00FF5D58"/>
    <w:rsid w:val="00FF5F51"/>
    <w:rsid w:val="00FF5F7D"/>
    <w:rsid w:val="00FF650F"/>
    <w:rsid w:val="00FF672A"/>
    <w:rsid w:val="00FF6848"/>
    <w:rsid w:val="00FF6918"/>
    <w:rsid w:val="00FF6ADC"/>
    <w:rsid w:val="00FF6B48"/>
    <w:rsid w:val="00FF6CCE"/>
    <w:rsid w:val="00FF6F48"/>
    <w:rsid w:val="00FF7020"/>
    <w:rsid w:val="00FF749E"/>
    <w:rsid w:val="00FF7681"/>
    <w:rsid w:val="00FF77B3"/>
    <w:rsid w:val="00FF7859"/>
    <w:rsid w:val="00FF79B4"/>
    <w:rsid w:val="00FF7AA1"/>
    <w:rsid w:val="00FF7BC6"/>
    <w:rsid w:val="00FF7D4F"/>
    <w:rsid w:val="00FF7E9A"/>
    <w:rsid w:val="00FF7FE7"/>
    <w:rsid w:val="01574097"/>
    <w:rsid w:val="048B0FAB"/>
    <w:rsid w:val="051A3558"/>
    <w:rsid w:val="09EF32DF"/>
    <w:rsid w:val="0F355657"/>
    <w:rsid w:val="128F16D3"/>
    <w:rsid w:val="1B30567C"/>
    <w:rsid w:val="1F4A10E9"/>
    <w:rsid w:val="229B2557"/>
    <w:rsid w:val="31433048"/>
    <w:rsid w:val="35874811"/>
    <w:rsid w:val="3B113A56"/>
    <w:rsid w:val="3D2506F7"/>
    <w:rsid w:val="3F37037D"/>
    <w:rsid w:val="3F653951"/>
    <w:rsid w:val="40E10DEF"/>
    <w:rsid w:val="46C37E84"/>
    <w:rsid w:val="476615E7"/>
    <w:rsid w:val="48045FE1"/>
    <w:rsid w:val="483E1A66"/>
    <w:rsid w:val="4BA677F0"/>
    <w:rsid w:val="4D316F74"/>
    <w:rsid w:val="55232A9A"/>
    <w:rsid w:val="584C6F36"/>
    <w:rsid w:val="58BD0D37"/>
    <w:rsid w:val="5CC95722"/>
    <w:rsid w:val="6B881ADB"/>
    <w:rsid w:val="6D9E577A"/>
    <w:rsid w:val="6F36531B"/>
    <w:rsid w:val="700A25B5"/>
    <w:rsid w:val="707E6FEC"/>
    <w:rsid w:val="781E104C"/>
    <w:rsid w:val="7C4E4BE0"/>
    <w:rsid w:val="7F254F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自选图形 393"/>
        <o:r id="V:Rule2" type="connector" idref="#自选图形 394"/>
        <o:r id="V:Rule3" type="connector" idref="#自选图形 395"/>
        <o:r id="V:Rule4" type="connector" idref="#自选图形 396"/>
        <o:r id="V:Rule5" type="connector" idref="#_x0000_s2055"/>
        <o:r id="V:Rule6" type="connector" idref="#自选图形 416"/>
        <o:r id="V:Rule7" type="connector" idref="#_x0000_s2076"/>
        <o:r id="V:Rule8" type="connector" idref="#_x0000_s2077"/>
        <o:r id="V:Rule9" type="connector" idref="#_x0000_s2078"/>
        <o:r id="V:Rule10" type="connector" idref="#_x0000_s2079"/>
        <o:r id="V:Rule11" type="connector" idref="#_x0000_s2080"/>
        <o:r id="V:Rule12" type="connector" idref="#_x0000_s2081"/>
        <o:r id="V:Rule13" type="connector" idref="#_x0000_s208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qFormat="1" w:unhideWhenUsed="0" w:uiPriority="0" w:semiHidden="0" w:name="List 2"/>
    <w:lsdException w:unhideWhenUsed="0" w:uiPriority="0" w:semiHidden="0" w:name="List 3"/>
    <w:lsdException w:unhideWhenUsed="0" w:uiPriority="0"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6"/>
    <w:qFormat/>
    <w:uiPriority w:val="0"/>
    <w:pPr>
      <w:keepNext/>
      <w:keepLines/>
      <w:spacing w:line="500" w:lineRule="exact"/>
      <w:jc w:val="center"/>
      <w:outlineLvl w:val="0"/>
    </w:pPr>
    <w:rPr>
      <w:rFonts w:ascii="Cambria" w:hAnsi="Cambria" w:eastAsia="黑体"/>
      <w:bCs/>
      <w:kern w:val="44"/>
      <w:sz w:val="36"/>
      <w:szCs w:val="44"/>
    </w:rPr>
  </w:style>
  <w:style w:type="paragraph" w:styleId="3">
    <w:name w:val="heading 2"/>
    <w:basedOn w:val="1"/>
    <w:next w:val="1"/>
    <w:link w:val="227"/>
    <w:qFormat/>
    <w:uiPriority w:val="0"/>
    <w:pPr>
      <w:keepNext/>
      <w:keepLines/>
      <w:spacing w:line="500" w:lineRule="exact"/>
      <w:outlineLvl w:val="1"/>
    </w:pPr>
    <w:rPr>
      <w:rFonts w:ascii="Cambria" w:hAnsi="Cambria" w:eastAsia="黑体" w:cs="Arial"/>
      <w:bCs/>
      <w:sz w:val="32"/>
      <w:szCs w:val="32"/>
    </w:rPr>
  </w:style>
  <w:style w:type="paragraph" w:styleId="4">
    <w:name w:val="heading 3"/>
    <w:basedOn w:val="1"/>
    <w:next w:val="1"/>
    <w:link w:val="224"/>
    <w:qFormat/>
    <w:uiPriority w:val="0"/>
    <w:pPr>
      <w:keepNext/>
      <w:spacing w:line="500" w:lineRule="exact"/>
      <w:outlineLvl w:val="2"/>
    </w:pPr>
    <w:rPr>
      <w:rFonts w:ascii="Cambria" w:hAnsi="Cambria" w:eastAsia="黑体"/>
      <w:bCs/>
      <w:sz w:val="30"/>
      <w:szCs w:val="30"/>
    </w:rPr>
  </w:style>
  <w:style w:type="paragraph" w:styleId="5">
    <w:name w:val="heading 4"/>
    <w:basedOn w:val="1"/>
    <w:next w:val="1"/>
    <w:link w:val="386"/>
    <w:qFormat/>
    <w:uiPriority w:val="0"/>
    <w:pPr>
      <w:keepNext/>
      <w:numPr>
        <w:ilvl w:val="3"/>
        <w:numId w:val="1"/>
      </w:numPr>
      <w:jc w:val="center"/>
      <w:outlineLvl w:val="3"/>
    </w:pPr>
    <w:rPr>
      <w:rFonts w:ascii="宋体" w:hAnsi="宋体"/>
      <w:b/>
      <w:bCs/>
      <w:color w:val="000000"/>
      <w:sz w:val="24"/>
    </w:rPr>
  </w:style>
  <w:style w:type="paragraph" w:styleId="6">
    <w:name w:val="heading 5"/>
    <w:basedOn w:val="1"/>
    <w:next w:val="1"/>
    <w:link w:val="387"/>
    <w:qFormat/>
    <w:uiPriority w:val="0"/>
    <w:pPr>
      <w:keepNext/>
      <w:spacing w:line="500" w:lineRule="exact"/>
      <w:outlineLvl w:val="4"/>
    </w:pPr>
    <w:rPr>
      <w:rFonts w:ascii="Cambria" w:hAnsi="Cambria" w:eastAsia="黑体"/>
      <w:bCs/>
      <w:color w:val="000000"/>
      <w:sz w:val="28"/>
    </w:rPr>
  </w:style>
  <w:style w:type="paragraph" w:styleId="7">
    <w:name w:val="heading 6"/>
    <w:basedOn w:val="1"/>
    <w:next w:val="1"/>
    <w:link w:val="388"/>
    <w:qFormat/>
    <w:uiPriority w:val="0"/>
    <w:pPr>
      <w:keepNext/>
      <w:keepLines/>
      <w:tabs>
        <w:tab w:val="left" w:pos="1152"/>
      </w:tabs>
      <w:adjustRightInd w:val="0"/>
      <w:snapToGrid w:val="0"/>
      <w:spacing w:beforeLines="50" w:beforeAutospacing="1" w:after="64" w:afterAutospacing="1" w:line="320" w:lineRule="auto"/>
      <w:ind w:left="1152" w:hanging="1152" w:firstLineChars="200"/>
      <w:outlineLvl w:val="5"/>
    </w:pPr>
    <w:rPr>
      <w:rFonts w:ascii="Arial" w:hAnsi="Arial" w:eastAsia="黑体"/>
      <w:b/>
      <w:snapToGrid w:val="0"/>
      <w:sz w:val="24"/>
      <w:szCs w:val="20"/>
    </w:rPr>
  </w:style>
  <w:style w:type="paragraph" w:styleId="8">
    <w:name w:val="heading 7"/>
    <w:basedOn w:val="1"/>
    <w:next w:val="1"/>
    <w:link w:val="389"/>
    <w:qFormat/>
    <w:uiPriority w:val="0"/>
    <w:pPr>
      <w:keepNext/>
      <w:keepLines/>
      <w:tabs>
        <w:tab w:val="left" w:pos="1296"/>
      </w:tabs>
      <w:adjustRightInd w:val="0"/>
      <w:snapToGrid w:val="0"/>
      <w:spacing w:beforeLines="50" w:beforeAutospacing="1" w:after="64" w:afterAutospacing="1" w:line="320" w:lineRule="auto"/>
      <w:ind w:left="1296" w:hanging="1296" w:firstLineChars="200"/>
      <w:outlineLvl w:val="6"/>
    </w:pPr>
    <w:rPr>
      <w:b/>
      <w:snapToGrid w:val="0"/>
      <w:sz w:val="24"/>
      <w:szCs w:val="20"/>
    </w:rPr>
  </w:style>
  <w:style w:type="paragraph" w:styleId="9">
    <w:name w:val="heading 8"/>
    <w:basedOn w:val="1"/>
    <w:next w:val="1"/>
    <w:link w:val="390"/>
    <w:qFormat/>
    <w:uiPriority w:val="0"/>
    <w:pPr>
      <w:keepNext/>
      <w:keepLines/>
      <w:tabs>
        <w:tab w:val="left" w:pos="1440"/>
      </w:tabs>
      <w:adjustRightInd w:val="0"/>
      <w:snapToGrid w:val="0"/>
      <w:spacing w:beforeLines="50" w:beforeAutospacing="1" w:after="64" w:afterAutospacing="1" w:line="320" w:lineRule="auto"/>
      <w:ind w:left="1440" w:hanging="1440" w:firstLineChars="200"/>
      <w:outlineLvl w:val="7"/>
    </w:pPr>
    <w:rPr>
      <w:rFonts w:ascii="Arial" w:hAnsi="Arial" w:eastAsia="黑体"/>
      <w:snapToGrid w:val="0"/>
      <w:sz w:val="24"/>
      <w:szCs w:val="20"/>
    </w:rPr>
  </w:style>
  <w:style w:type="paragraph" w:styleId="10">
    <w:name w:val="heading 9"/>
    <w:basedOn w:val="1"/>
    <w:next w:val="1"/>
    <w:link w:val="391"/>
    <w:qFormat/>
    <w:uiPriority w:val="0"/>
    <w:pPr>
      <w:keepNext/>
      <w:keepLines/>
      <w:tabs>
        <w:tab w:val="left" w:pos="1584"/>
      </w:tabs>
      <w:adjustRightInd w:val="0"/>
      <w:snapToGrid w:val="0"/>
      <w:spacing w:beforeLines="50" w:beforeAutospacing="1" w:after="64" w:afterAutospacing="1" w:line="320" w:lineRule="auto"/>
      <w:ind w:left="1584" w:hanging="1584" w:firstLineChars="200"/>
      <w:outlineLvl w:val="8"/>
    </w:pPr>
    <w:rPr>
      <w:rFonts w:ascii="Arial" w:hAnsi="Arial" w:eastAsia="黑体"/>
      <w:snapToGrid w:val="0"/>
      <w:sz w:val="24"/>
      <w:szCs w:val="20"/>
    </w:rPr>
  </w:style>
  <w:style w:type="character" w:default="1" w:styleId="50">
    <w:name w:val="Default Paragraph Font"/>
    <w:semiHidden/>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0"/>
    <w:pPr>
      <w:ind w:left="1260"/>
      <w:jc w:val="left"/>
    </w:pPr>
    <w:rPr>
      <w:rFonts w:asciiTheme="minorHAnsi" w:hAnsiTheme="minorHAnsi"/>
      <w:sz w:val="18"/>
      <w:szCs w:val="18"/>
    </w:rPr>
  </w:style>
  <w:style w:type="paragraph" w:styleId="12">
    <w:name w:val="Note Heading"/>
    <w:basedOn w:val="1"/>
    <w:next w:val="1"/>
    <w:link w:val="397"/>
    <w:qFormat/>
    <w:uiPriority w:val="0"/>
    <w:pPr>
      <w:adjustRightInd w:val="0"/>
      <w:snapToGrid w:val="0"/>
      <w:spacing w:before="100" w:beforeAutospacing="1" w:after="100" w:afterAutospacing="1"/>
      <w:ind w:firstLine="200" w:firstLineChars="200"/>
      <w:jc w:val="center"/>
    </w:pPr>
    <w:rPr>
      <w:snapToGrid w:val="0"/>
      <w:sz w:val="24"/>
    </w:rPr>
  </w:style>
  <w:style w:type="paragraph" w:styleId="13">
    <w:name w:val="Normal Indent"/>
    <w:basedOn w:val="1"/>
    <w:link w:val="76"/>
    <w:qFormat/>
    <w:uiPriority w:val="0"/>
    <w:pPr>
      <w:spacing w:line="360" w:lineRule="auto"/>
      <w:ind w:firstLine="420" w:firstLineChars="200"/>
      <w:jc w:val="left"/>
    </w:pPr>
    <w:rPr>
      <w:sz w:val="24"/>
    </w:rPr>
  </w:style>
  <w:style w:type="paragraph" w:styleId="14">
    <w:name w:val="caption"/>
    <w:basedOn w:val="1"/>
    <w:next w:val="1"/>
    <w:link w:val="369"/>
    <w:qFormat/>
    <w:uiPriority w:val="0"/>
    <w:rPr>
      <w:rFonts w:ascii="Arial" w:hAnsi="Arial" w:eastAsia="黑体"/>
      <w:sz w:val="20"/>
      <w:szCs w:val="20"/>
    </w:rPr>
  </w:style>
  <w:style w:type="paragraph" w:styleId="15">
    <w:name w:val="Document Map"/>
    <w:basedOn w:val="1"/>
    <w:link w:val="237"/>
    <w:semiHidden/>
    <w:qFormat/>
    <w:uiPriority w:val="0"/>
    <w:pPr>
      <w:shd w:val="clear" w:color="auto" w:fill="000080"/>
    </w:pPr>
  </w:style>
  <w:style w:type="paragraph" w:styleId="16">
    <w:name w:val="annotation text"/>
    <w:basedOn w:val="1"/>
    <w:link w:val="399"/>
    <w:semiHidden/>
    <w:qFormat/>
    <w:uiPriority w:val="0"/>
    <w:pPr>
      <w:jc w:val="left"/>
    </w:pPr>
    <w:rPr>
      <w:sz w:val="24"/>
    </w:rPr>
  </w:style>
  <w:style w:type="paragraph" w:styleId="17">
    <w:name w:val="Body Text 3"/>
    <w:basedOn w:val="1"/>
    <w:link w:val="394"/>
    <w:qFormat/>
    <w:uiPriority w:val="0"/>
    <w:pPr>
      <w:spacing w:after="120"/>
    </w:pPr>
    <w:rPr>
      <w:sz w:val="16"/>
      <w:szCs w:val="16"/>
    </w:rPr>
  </w:style>
  <w:style w:type="paragraph" w:styleId="18">
    <w:name w:val="Body Text"/>
    <w:basedOn w:val="1"/>
    <w:link w:val="149"/>
    <w:qFormat/>
    <w:uiPriority w:val="0"/>
    <w:pPr>
      <w:spacing w:after="120"/>
    </w:pPr>
  </w:style>
  <w:style w:type="paragraph" w:styleId="19">
    <w:name w:val="Body Text Indent"/>
    <w:basedOn w:val="1"/>
    <w:link w:val="67"/>
    <w:qFormat/>
    <w:uiPriority w:val="0"/>
    <w:pPr>
      <w:ind w:left="-2" w:leftChars="-1" w:firstLine="538" w:firstLineChars="192"/>
      <w:jc w:val="left"/>
    </w:pPr>
    <w:rPr>
      <w:rFonts w:ascii="宋体" w:hAnsi="宋体"/>
      <w:sz w:val="28"/>
      <w:szCs w:val="20"/>
    </w:rPr>
  </w:style>
  <w:style w:type="paragraph" w:styleId="20">
    <w:name w:val="List 2"/>
    <w:basedOn w:val="1"/>
    <w:qFormat/>
    <w:uiPriority w:val="0"/>
    <w:pPr>
      <w:ind w:left="100" w:leftChars="200" w:hanging="200" w:hangingChars="200"/>
    </w:pPr>
  </w:style>
  <w:style w:type="paragraph" w:styleId="21">
    <w:name w:val="toc 5"/>
    <w:basedOn w:val="1"/>
    <w:next w:val="1"/>
    <w:qFormat/>
    <w:uiPriority w:val="0"/>
    <w:pPr>
      <w:ind w:left="840"/>
      <w:jc w:val="left"/>
    </w:pPr>
    <w:rPr>
      <w:rFonts w:asciiTheme="minorHAnsi" w:hAnsiTheme="minorHAnsi"/>
      <w:sz w:val="18"/>
      <w:szCs w:val="18"/>
    </w:rPr>
  </w:style>
  <w:style w:type="paragraph" w:styleId="22">
    <w:name w:val="toc 3"/>
    <w:basedOn w:val="1"/>
    <w:next w:val="1"/>
    <w:qFormat/>
    <w:uiPriority w:val="0"/>
    <w:pPr>
      <w:ind w:left="420"/>
      <w:jc w:val="left"/>
    </w:pPr>
    <w:rPr>
      <w:rFonts w:asciiTheme="minorHAnsi" w:hAnsiTheme="minorHAnsi"/>
      <w:i/>
      <w:iCs/>
      <w:sz w:val="20"/>
      <w:szCs w:val="20"/>
    </w:rPr>
  </w:style>
  <w:style w:type="paragraph" w:styleId="23">
    <w:name w:val="Plain Text"/>
    <w:basedOn w:val="1"/>
    <w:link w:val="73"/>
    <w:qFormat/>
    <w:uiPriority w:val="0"/>
    <w:rPr>
      <w:rFonts w:ascii="宋体" w:hAnsi="Courier New" w:cs="Courier New"/>
      <w:szCs w:val="21"/>
    </w:rPr>
  </w:style>
  <w:style w:type="paragraph" w:styleId="24">
    <w:name w:val="toc 8"/>
    <w:basedOn w:val="1"/>
    <w:next w:val="1"/>
    <w:qFormat/>
    <w:uiPriority w:val="0"/>
    <w:pPr>
      <w:ind w:left="1470"/>
      <w:jc w:val="left"/>
    </w:pPr>
    <w:rPr>
      <w:rFonts w:asciiTheme="minorHAnsi" w:hAnsiTheme="minorHAnsi"/>
      <w:sz w:val="18"/>
      <w:szCs w:val="18"/>
    </w:rPr>
  </w:style>
  <w:style w:type="paragraph" w:styleId="25">
    <w:name w:val="Date"/>
    <w:basedOn w:val="1"/>
    <w:next w:val="1"/>
    <w:link w:val="392"/>
    <w:qFormat/>
    <w:uiPriority w:val="0"/>
    <w:pPr>
      <w:ind w:left="100" w:leftChars="2500"/>
    </w:pPr>
  </w:style>
  <w:style w:type="paragraph" w:styleId="26">
    <w:name w:val="Body Text Indent 2"/>
    <w:basedOn w:val="1"/>
    <w:link w:val="251"/>
    <w:qFormat/>
    <w:uiPriority w:val="0"/>
    <w:pPr>
      <w:spacing w:after="120" w:line="480" w:lineRule="auto"/>
      <w:ind w:left="420" w:leftChars="200"/>
    </w:pPr>
  </w:style>
  <w:style w:type="paragraph" w:styleId="27">
    <w:name w:val="Balloon Text"/>
    <w:basedOn w:val="1"/>
    <w:link w:val="396"/>
    <w:semiHidden/>
    <w:qFormat/>
    <w:uiPriority w:val="0"/>
    <w:rPr>
      <w:sz w:val="18"/>
      <w:szCs w:val="18"/>
    </w:rPr>
  </w:style>
  <w:style w:type="paragraph" w:styleId="28">
    <w:name w:val="footer"/>
    <w:basedOn w:val="1"/>
    <w:link w:val="246"/>
    <w:qFormat/>
    <w:uiPriority w:val="99"/>
    <w:pPr>
      <w:tabs>
        <w:tab w:val="center" w:pos="4153"/>
        <w:tab w:val="right" w:pos="8306"/>
      </w:tabs>
      <w:snapToGrid w:val="0"/>
      <w:jc w:val="left"/>
    </w:pPr>
    <w:rPr>
      <w:sz w:val="18"/>
      <w:szCs w:val="18"/>
    </w:rPr>
  </w:style>
  <w:style w:type="paragraph" w:styleId="29">
    <w:name w:val="header"/>
    <w:basedOn w:val="1"/>
    <w:link w:val="245"/>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right" w:leader="dot" w:pos="8755"/>
      </w:tabs>
      <w:spacing w:before="120" w:after="120"/>
      <w:jc w:val="left"/>
    </w:pPr>
    <w:rPr>
      <w:rFonts w:asciiTheme="minorEastAsia" w:hAnsiTheme="minorEastAsia" w:eastAsiaTheme="minorEastAsia"/>
      <w:b/>
      <w:bCs/>
      <w:caps/>
      <w:sz w:val="24"/>
    </w:rPr>
  </w:style>
  <w:style w:type="paragraph" w:styleId="31">
    <w:name w:val="toc 4"/>
    <w:basedOn w:val="1"/>
    <w:next w:val="1"/>
    <w:qFormat/>
    <w:uiPriority w:val="0"/>
    <w:pPr>
      <w:ind w:left="630"/>
      <w:jc w:val="left"/>
    </w:pPr>
    <w:rPr>
      <w:rFonts w:asciiTheme="minorHAnsi" w:hAnsiTheme="minorHAnsi"/>
      <w:sz w:val="18"/>
      <w:szCs w:val="18"/>
    </w:rPr>
  </w:style>
  <w:style w:type="paragraph" w:styleId="32">
    <w:name w:val="Subtitle"/>
    <w:basedOn w:val="1"/>
    <w:next w:val="1"/>
    <w:link w:val="454"/>
    <w:qFormat/>
    <w:uiPriority w:val="0"/>
    <w:pPr>
      <w:spacing w:line="480" w:lineRule="exact"/>
      <w:jc w:val="center"/>
      <w:outlineLvl w:val="4"/>
    </w:pPr>
    <w:rPr>
      <w:rFonts w:ascii="Cambria" w:hAnsi="Cambria" w:eastAsia="黑体" w:cstheme="majorBidi"/>
      <w:bCs/>
      <w:kern w:val="28"/>
      <w:sz w:val="24"/>
      <w:szCs w:val="32"/>
    </w:rPr>
  </w:style>
  <w:style w:type="paragraph" w:styleId="33">
    <w:name w:val="List"/>
    <w:basedOn w:val="1"/>
    <w:qFormat/>
    <w:uiPriority w:val="0"/>
    <w:pPr>
      <w:spacing w:line="300" w:lineRule="exact"/>
    </w:pPr>
    <w:rPr>
      <w:sz w:val="18"/>
    </w:rPr>
  </w:style>
  <w:style w:type="paragraph" w:styleId="34">
    <w:name w:val="toc 6"/>
    <w:basedOn w:val="1"/>
    <w:next w:val="1"/>
    <w:qFormat/>
    <w:uiPriority w:val="0"/>
    <w:pPr>
      <w:ind w:left="1050"/>
      <w:jc w:val="left"/>
    </w:pPr>
    <w:rPr>
      <w:rFonts w:asciiTheme="minorHAnsi" w:hAnsiTheme="minorHAnsi"/>
      <w:sz w:val="18"/>
      <w:szCs w:val="18"/>
    </w:rPr>
  </w:style>
  <w:style w:type="paragraph" w:styleId="35">
    <w:name w:val="Body Text Indent 3"/>
    <w:basedOn w:val="1"/>
    <w:link w:val="366"/>
    <w:qFormat/>
    <w:uiPriority w:val="0"/>
    <w:pPr>
      <w:spacing w:after="120"/>
      <w:ind w:left="420" w:leftChars="200"/>
    </w:pPr>
    <w:rPr>
      <w:sz w:val="16"/>
      <w:szCs w:val="16"/>
    </w:rPr>
  </w:style>
  <w:style w:type="paragraph" w:styleId="36">
    <w:name w:val="table of figures"/>
    <w:basedOn w:val="1"/>
    <w:next w:val="1"/>
    <w:semiHidden/>
    <w:qFormat/>
    <w:uiPriority w:val="0"/>
    <w:pPr>
      <w:ind w:left="200" w:leftChars="200" w:hanging="200" w:hangingChars="200"/>
    </w:pPr>
  </w:style>
  <w:style w:type="paragraph" w:styleId="37">
    <w:name w:val="toc 2"/>
    <w:basedOn w:val="1"/>
    <w:next w:val="1"/>
    <w:qFormat/>
    <w:uiPriority w:val="39"/>
    <w:pPr>
      <w:tabs>
        <w:tab w:val="right" w:leader="dot" w:pos="8755"/>
      </w:tabs>
      <w:spacing w:line="400" w:lineRule="exact"/>
      <w:ind w:left="210"/>
      <w:jc w:val="left"/>
    </w:pPr>
    <w:rPr>
      <w:rFonts w:asciiTheme="minorHAnsi" w:hAnsiTheme="minorHAnsi"/>
      <w:smallCaps/>
      <w:szCs w:val="21"/>
    </w:rPr>
  </w:style>
  <w:style w:type="paragraph" w:styleId="38">
    <w:name w:val="toc 9"/>
    <w:basedOn w:val="1"/>
    <w:next w:val="1"/>
    <w:qFormat/>
    <w:uiPriority w:val="0"/>
    <w:pPr>
      <w:ind w:left="1680"/>
      <w:jc w:val="left"/>
    </w:pPr>
    <w:rPr>
      <w:rFonts w:asciiTheme="minorHAnsi" w:hAnsiTheme="minorHAnsi"/>
      <w:sz w:val="18"/>
      <w:szCs w:val="18"/>
    </w:rPr>
  </w:style>
  <w:style w:type="paragraph" w:styleId="39">
    <w:name w:val="Body Text 2"/>
    <w:basedOn w:val="1"/>
    <w:link w:val="393"/>
    <w:qFormat/>
    <w:uiPriority w:val="0"/>
    <w:pPr>
      <w:spacing w:after="120" w:line="480" w:lineRule="auto"/>
    </w:pPr>
  </w:style>
  <w:style w:type="paragraph" w:styleId="40">
    <w:name w:val="HTML Preformatted"/>
    <w:basedOn w:val="1"/>
    <w:link w:val="4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41">
    <w:name w:val="Normal (Web)"/>
    <w:basedOn w:val="1"/>
    <w:qFormat/>
    <w:uiPriority w:val="0"/>
    <w:pPr>
      <w:widowControl/>
      <w:spacing w:before="100" w:beforeAutospacing="1" w:after="100" w:afterAutospacing="1"/>
      <w:jc w:val="left"/>
    </w:pPr>
    <w:rPr>
      <w:rFonts w:ascii="宋体" w:hAnsi="宋体"/>
      <w:kern w:val="0"/>
      <w:sz w:val="24"/>
    </w:rPr>
  </w:style>
  <w:style w:type="paragraph" w:styleId="42">
    <w:name w:val="Title"/>
    <w:basedOn w:val="1"/>
    <w:next w:val="1"/>
    <w:link w:val="398"/>
    <w:qFormat/>
    <w:uiPriority w:val="10"/>
    <w:pPr>
      <w:spacing w:before="240" w:after="60" w:line="490" w:lineRule="exact"/>
      <w:jc w:val="center"/>
      <w:outlineLvl w:val="0"/>
    </w:pPr>
    <w:rPr>
      <w:rFonts w:ascii="Arial" w:hAnsi="Arial"/>
      <w:b/>
      <w:bCs/>
      <w:sz w:val="32"/>
      <w:szCs w:val="32"/>
    </w:rPr>
  </w:style>
  <w:style w:type="paragraph" w:styleId="43">
    <w:name w:val="annotation subject"/>
    <w:basedOn w:val="16"/>
    <w:next w:val="16"/>
    <w:link w:val="400"/>
    <w:semiHidden/>
    <w:qFormat/>
    <w:uiPriority w:val="0"/>
    <w:rPr>
      <w:b/>
      <w:bCs/>
    </w:rPr>
  </w:style>
  <w:style w:type="paragraph" w:styleId="44">
    <w:name w:val="Body Text First Indent"/>
    <w:basedOn w:val="18"/>
    <w:qFormat/>
    <w:uiPriority w:val="0"/>
    <w:pPr>
      <w:ind w:firstLine="420" w:firstLineChars="100"/>
    </w:pPr>
  </w:style>
  <w:style w:type="paragraph" w:styleId="45">
    <w:name w:val="Body Text First Indent 2"/>
    <w:basedOn w:val="19"/>
    <w:link w:val="395"/>
    <w:qFormat/>
    <w:uiPriority w:val="0"/>
    <w:pPr>
      <w:spacing w:after="120"/>
      <w:ind w:left="420" w:leftChars="200" w:firstLine="420" w:firstLineChars="200"/>
      <w:jc w:val="both"/>
    </w:pPr>
    <w:rPr>
      <w:rFonts w:ascii="Times New Roman" w:hAnsi="Times New Roman"/>
      <w:sz w:val="24"/>
      <w:szCs w:val="24"/>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48">
    <w:name w:val="Table Theme"/>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49">
    <w:name w:val="Table Grid 1"/>
    <w:basedOn w:val="4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lastRow">
      <w:rPr>
        <w:i/>
        <w:iCs/>
      </w:rPr>
      <w:tblPr>
        <w:tblLayout w:type="fixed"/>
      </w:tblPr>
      <w:tcPr>
        <w:tcBorders>
          <w:tl2br w:val="nil"/>
          <w:tr2bl w:val="nil"/>
        </w:tcBorders>
      </w:tcPr>
    </w:tblStylePr>
    <w:tblStylePr w:type="lastCol">
      <w:rPr>
        <w:i/>
        <w:i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Hyperlink"/>
    <w:qFormat/>
    <w:uiPriority w:val="99"/>
    <w:rPr>
      <w:color w:val="0000FF"/>
      <w:u w:val="single"/>
    </w:rPr>
  </w:style>
  <w:style w:type="character" w:styleId="55">
    <w:name w:val="annotation reference"/>
    <w:semiHidden/>
    <w:qFormat/>
    <w:uiPriority w:val="0"/>
    <w:rPr>
      <w:sz w:val="21"/>
      <w:szCs w:val="21"/>
    </w:rPr>
  </w:style>
  <w:style w:type="paragraph" w:customStyle="1" w:styleId="56">
    <w:name w:val="bg正文首行缩进"/>
    <w:basedOn w:val="1"/>
    <w:link w:val="57"/>
    <w:qFormat/>
    <w:uiPriority w:val="0"/>
    <w:pPr>
      <w:spacing w:line="360" w:lineRule="exact"/>
      <w:ind w:firstLine="482"/>
    </w:pPr>
    <w:rPr>
      <w:sz w:val="24"/>
      <w:szCs w:val="28"/>
    </w:rPr>
  </w:style>
  <w:style w:type="character" w:customStyle="1" w:styleId="57">
    <w:name w:val="bg正文首行缩进 Char"/>
    <w:link w:val="56"/>
    <w:qFormat/>
    <w:uiPriority w:val="0"/>
    <w:rPr>
      <w:rFonts w:eastAsia="宋体"/>
      <w:kern w:val="2"/>
      <w:sz w:val="24"/>
      <w:szCs w:val="28"/>
      <w:lang w:val="en-US" w:eastAsia="zh-CN" w:bidi="ar-SA"/>
    </w:rPr>
  </w:style>
  <w:style w:type="paragraph" w:customStyle="1" w:styleId="58">
    <w:name w:val="报告正文小四"/>
    <w:basedOn w:val="1"/>
    <w:qFormat/>
    <w:uiPriority w:val="0"/>
    <w:pPr>
      <w:adjustRightInd w:val="0"/>
      <w:snapToGrid w:val="0"/>
      <w:spacing w:before="120" w:line="420" w:lineRule="atLeast"/>
      <w:ind w:firstLine="510"/>
    </w:pPr>
    <w:rPr>
      <w:sz w:val="24"/>
      <w:szCs w:val="20"/>
    </w:rPr>
  </w:style>
  <w:style w:type="paragraph" w:customStyle="1" w:styleId="59">
    <w:name w:val="Char1"/>
    <w:basedOn w:val="1"/>
    <w:qFormat/>
    <w:uiPriority w:val="0"/>
    <w:pPr>
      <w:widowControl/>
      <w:spacing w:after="160" w:line="240" w:lineRule="exact"/>
      <w:jc w:val="left"/>
    </w:pPr>
    <w:rPr>
      <w:rFonts w:ascii="宋体" w:hAnsi="宋体"/>
      <w:b/>
      <w:kern w:val="0"/>
      <w:sz w:val="44"/>
      <w:szCs w:val="44"/>
      <w:lang w:eastAsia="en-US"/>
    </w:rPr>
  </w:style>
  <w:style w:type="character" w:customStyle="1" w:styleId="60">
    <w:name w:val="bg正文首行缩进 Char1"/>
    <w:qFormat/>
    <w:uiPriority w:val="0"/>
    <w:rPr>
      <w:rFonts w:eastAsia="宋体"/>
      <w:kern w:val="2"/>
      <w:sz w:val="28"/>
      <w:szCs w:val="28"/>
      <w:lang w:val="en-US" w:eastAsia="zh-CN" w:bidi="ar-SA"/>
    </w:rPr>
  </w:style>
  <w:style w:type="paragraph" w:customStyle="1" w:styleId="61">
    <w:name w:val="bg表内容"/>
    <w:basedOn w:val="1"/>
    <w:next w:val="1"/>
    <w:qFormat/>
    <w:uiPriority w:val="0"/>
    <w:pPr>
      <w:ind w:left="-113" w:right="-113"/>
      <w:jc w:val="center"/>
    </w:pPr>
    <w:rPr>
      <w:sz w:val="18"/>
      <w:szCs w:val="18"/>
    </w:rPr>
  </w:style>
  <w:style w:type="paragraph" w:customStyle="1" w:styleId="62">
    <w:name w:val="bgbt6插图标题"/>
    <w:basedOn w:val="36"/>
    <w:next w:val="1"/>
    <w:link w:val="63"/>
    <w:qFormat/>
    <w:uiPriority w:val="0"/>
    <w:pPr>
      <w:spacing w:after="60"/>
      <w:ind w:left="420" w:leftChars="0" w:hanging="420" w:firstLineChars="0"/>
      <w:jc w:val="center"/>
      <w:outlineLvl w:val="5"/>
    </w:pPr>
    <w:rPr>
      <w:rFonts w:eastAsia="黑体"/>
      <w:smallCaps/>
      <w:sz w:val="20"/>
      <w:szCs w:val="21"/>
    </w:rPr>
  </w:style>
  <w:style w:type="character" w:customStyle="1" w:styleId="63">
    <w:name w:val="bgbt6插图标题 Char"/>
    <w:link w:val="62"/>
    <w:qFormat/>
    <w:uiPriority w:val="0"/>
    <w:rPr>
      <w:rFonts w:eastAsia="黑体"/>
      <w:smallCaps/>
      <w:kern w:val="2"/>
      <w:szCs w:val="21"/>
      <w:lang w:val="en-US" w:eastAsia="zh-CN" w:bidi="ar-SA"/>
    </w:rPr>
  </w:style>
  <w:style w:type="paragraph" w:customStyle="1" w:styleId="64">
    <w:name w:val="bg正文首行缩进 Char Char"/>
    <w:basedOn w:val="1"/>
    <w:qFormat/>
    <w:uiPriority w:val="0"/>
    <w:pPr>
      <w:spacing w:line="360" w:lineRule="exact"/>
      <w:ind w:firstLine="482"/>
    </w:pPr>
    <w:rPr>
      <w:sz w:val="24"/>
      <w:szCs w:val="28"/>
    </w:rPr>
  </w:style>
  <w:style w:type="paragraph" w:customStyle="1" w:styleId="65">
    <w:name w:val="bgbt5附表标题"/>
    <w:basedOn w:val="1"/>
    <w:next w:val="1"/>
    <w:link w:val="66"/>
    <w:qFormat/>
    <w:uiPriority w:val="0"/>
    <w:pPr>
      <w:spacing w:before="60"/>
      <w:jc w:val="center"/>
      <w:outlineLvl w:val="4"/>
    </w:pPr>
    <w:rPr>
      <w:rFonts w:eastAsia="黑体"/>
      <w:szCs w:val="21"/>
    </w:rPr>
  </w:style>
  <w:style w:type="character" w:customStyle="1" w:styleId="66">
    <w:name w:val="bgbt5附表标题 Char"/>
    <w:link w:val="65"/>
    <w:qFormat/>
    <w:uiPriority w:val="0"/>
    <w:rPr>
      <w:rFonts w:eastAsia="黑体"/>
      <w:kern w:val="2"/>
      <w:sz w:val="21"/>
      <w:szCs w:val="21"/>
      <w:lang w:val="en-US" w:eastAsia="zh-CN" w:bidi="ar-SA"/>
    </w:rPr>
  </w:style>
  <w:style w:type="character" w:customStyle="1" w:styleId="67">
    <w:name w:val="正文文本缩进 Char"/>
    <w:link w:val="19"/>
    <w:qFormat/>
    <w:uiPriority w:val="0"/>
    <w:rPr>
      <w:rFonts w:ascii="宋体" w:hAnsi="宋体" w:eastAsia="宋体"/>
      <w:kern w:val="2"/>
      <w:sz w:val="28"/>
      <w:lang w:val="en-US" w:eastAsia="zh-CN" w:bidi="ar-SA"/>
    </w:rPr>
  </w:style>
  <w:style w:type="paragraph" w:customStyle="1" w:styleId="68">
    <w:name w:val="Char Char Char Char Char Char1 Char Char Char1 Char Char Char Char Char Char Char"/>
    <w:basedOn w:val="1"/>
    <w:qFormat/>
    <w:uiPriority w:val="0"/>
    <w:pPr>
      <w:spacing w:line="360" w:lineRule="auto"/>
      <w:ind w:firstLine="200" w:firstLineChars="200"/>
    </w:pPr>
    <w:rPr>
      <w:rFonts w:ascii="宋体" w:hAnsi="宋体" w:cs="宋体"/>
      <w:sz w:val="24"/>
    </w:rPr>
  </w:style>
  <w:style w:type="paragraph" w:customStyle="1" w:styleId="69">
    <w:name w:val="我的正文 Char Char"/>
    <w:basedOn w:val="1"/>
    <w:qFormat/>
    <w:uiPriority w:val="0"/>
    <w:pPr>
      <w:spacing w:line="360" w:lineRule="auto"/>
      <w:ind w:firstLine="200" w:firstLineChars="200"/>
    </w:pPr>
    <w:rPr>
      <w:sz w:val="24"/>
    </w:rPr>
  </w:style>
  <w:style w:type="paragraph" w:customStyle="1" w:styleId="70">
    <w:name w:val="bgbt2节标题"/>
    <w:basedOn w:val="1"/>
    <w:next w:val="1"/>
    <w:qFormat/>
    <w:uiPriority w:val="0"/>
    <w:pPr>
      <w:spacing w:before="300" w:after="60"/>
      <w:jc w:val="center"/>
      <w:outlineLvl w:val="1"/>
    </w:pPr>
    <w:rPr>
      <w:rFonts w:eastAsia="黑体"/>
      <w:sz w:val="30"/>
      <w:szCs w:val="30"/>
    </w:rPr>
  </w:style>
  <w:style w:type="paragraph" w:customStyle="1" w:styleId="71">
    <w:name w:val="水保1级"/>
    <w:basedOn w:val="2"/>
    <w:qFormat/>
    <w:uiPriority w:val="0"/>
  </w:style>
  <w:style w:type="paragraph" w:customStyle="1" w:styleId="72">
    <w:name w:val="样式 水保2级 + Times New Roman"/>
    <w:basedOn w:val="1"/>
    <w:qFormat/>
    <w:uiPriority w:val="0"/>
    <w:pPr>
      <w:keepNext/>
      <w:keepLines/>
      <w:spacing w:before="260" w:after="260" w:line="415" w:lineRule="auto"/>
      <w:outlineLvl w:val="1"/>
    </w:pPr>
    <w:rPr>
      <w:sz w:val="28"/>
      <w:szCs w:val="32"/>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paragraph" w:customStyle="1" w:styleId="74">
    <w:name w:val="Char Char Char Char"/>
    <w:basedOn w:val="1"/>
    <w:qFormat/>
    <w:uiPriority w:val="0"/>
    <w:pPr>
      <w:widowControl/>
      <w:spacing w:after="160" w:line="240" w:lineRule="exact"/>
      <w:jc w:val="left"/>
    </w:pPr>
    <w:rPr>
      <w:rFonts w:ascii="宋体" w:hAnsi="宋体"/>
      <w:b/>
      <w:kern w:val="0"/>
      <w:sz w:val="44"/>
      <w:szCs w:val="44"/>
      <w:lang w:eastAsia="en-US"/>
    </w:rPr>
  </w:style>
  <w:style w:type="paragraph" w:customStyle="1" w:styleId="75">
    <w:name w:val="Char Char Char Char Char Char Char Char Char Char"/>
    <w:basedOn w:val="1"/>
    <w:qFormat/>
    <w:uiPriority w:val="0"/>
  </w:style>
  <w:style w:type="character" w:customStyle="1" w:styleId="76">
    <w:name w:val="正文缩进 Char1"/>
    <w:link w:val="13"/>
    <w:qFormat/>
    <w:uiPriority w:val="0"/>
    <w:rPr>
      <w:rFonts w:eastAsia="宋体"/>
      <w:kern w:val="2"/>
      <w:sz w:val="24"/>
      <w:szCs w:val="24"/>
      <w:lang w:val="en-US" w:eastAsia="zh-CN" w:bidi="ar-SA"/>
    </w:rPr>
  </w:style>
  <w:style w:type="paragraph" w:customStyle="1" w:styleId="77">
    <w:name w:val="2"/>
    <w:basedOn w:val="1"/>
    <w:next w:val="26"/>
    <w:link w:val="457"/>
    <w:qFormat/>
    <w:uiPriority w:val="0"/>
    <w:pPr>
      <w:widowControl/>
      <w:ind w:firstLine="560" w:firstLineChars="200"/>
      <w:jc w:val="left"/>
    </w:pPr>
    <w:rPr>
      <w:rFonts w:ascii="仿宋_GB2312" w:hAnsi="宋体" w:eastAsia="仿宋_GB2312"/>
      <w:kern w:val="30"/>
      <w:sz w:val="28"/>
      <w:szCs w:val="30"/>
    </w:rPr>
  </w:style>
  <w:style w:type="paragraph" w:customStyle="1" w:styleId="7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79">
    <w:name w:val="!标题4(alt+4)"/>
    <w:basedOn w:val="1"/>
    <w:qFormat/>
    <w:uiPriority w:val="0"/>
    <w:pPr>
      <w:spacing w:line="420" w:lineRule="exact"/>
      <w:ind w:firstLine="480" w:firstLineChars="200"/>
      <w:outlineLvl w:val="3"/>
    </w:pPr>
    <w:rPr>
      <w:sz w:val="24"/>
    </w:rPr>
  </w:style>
  <w:style w:type="paragraph" w:customStyle="1" w:styleId="80">
    <w:name w:val="Char"/>
    <w:basedOn w:val="1"/>
    <w:link w:val="198"/>
    <w:qFormat/>
    <w:uiPriority w:val="0"/>
    <w:pPr>
      <w:spacing w:line="360" w:lineRule="auto"/>
      <w:ind w:firstLine="200" w:firstLineChars="200"/>
    </w:pPr>
    <w:rPr>
      <w:rFonts w:ascii="宋体" w:hAnsi="宋体" w:cs="宋体"/>
      <w:sz w:val="24"/>
    </w:rPr>
  </w:style>
  <w:style w:type="paragraph" w:customStyle="1" w:styleId="81">
    <w:name w:val="表头"/>
    <w:next w:val="1"/>
    <w:link w:val="381"/>
    <w:qFormat/>
    <w:uiPriority w:val="0"/>
    <w:pPr>
      <w:widowControl w:val="0"/>
      <w:tabs>
        <w:tab w:val="left" w:pos="550"/>
      </w:tabs>
      <w:spacing w:line="600" w:lineRule="exact"/>
      <w:jc w:val="center"/>
    </w:pPr>
    <w:rPr>
      <w:rFonts w:ascii="Times New Roman" w:hAnsi="Times New Roman" w:eastAsia="宋体" w:cs="Times New Roman"/>
      <w:b/>
      <w:bCs/>
      <w:kern w:val="2"/>
      <w:sz w:val="24"/>
      <w:szCs w:val="24"/>
      <w:lang w:val="en-US" w:eastAsia="zh-CN" w:bidi="ar-SA"/>
    </w:rPr>
  </w:style>
  <w:style w:type="paragraph" w:customStyle="1" w:styleId="82">
    <w:name w:val="样式1"/>
    <w:basedOn w:val="13"/>
    <w:qFormat/>
    <w:uiPriority w:val="0"/>
    <w:pPr>
      <w:spacing w:line="240" w:lineRule="auto"/>
      <w:ind w:firstLine="560"/>
      <w:jc w:val="both"/>
    </w:pPr>
    <w:rPr>
      <w:sz w:val="28"/>
    </w:rPr>
  </w:style>
  <w:style w:type="paragraph" w:customStyle="1" w:styleId="83">
    <w:name w:val="Char Char Char Char Char Char1 Char Char Char Char Char Char Char Char Char1 Char Char Char Char Char Char Char Char Char Char Char Char Char"/>
    <w:basedOn w:val="1"/>
    <w:qFormat/>
    <w:uiPriority w:val="0"/>
    <w:pPr>
      <w:widowControl/>
      <w:jc w:val="left"/>
    </w:pPr>
    <w:rPr>
      <w:rFonts w:ascii="宋体" w:hAnsi="宋体" w:cs="宋体"/>
      <w:kern w:val="0"/>
      <w:sz w:val="24"/>
    </w:rPr>
  </w:style>
  <w:style w:type="paragraph" w:customStyle="1" w:styleId="84">
    <w:name w:val="表格"/>
    <w:basedOn w:val="1"/>
    <w:link w:val="376"/>
    <w:qFormat/>
    <w:uiPriority w:val="0"/>
    <w:pPr>
      <w:autoSpaceDE w:val="0"/>
      <w:autoSpaceDN w:val="0"/>
      <w:adjustRightInd w:val="0"/>
      <w:spacing w:line="400" w:lineRule="exact"/>
      <w:jc w:val="left"/>
      <w:textAlignment w:val="baseline"/>
    </w:pPr>
    <w:rPr>
      <w:rFonts w:ascii="宋体"/>
      <w:kern w:val="0"/>
      <w:sz w:val="24"/>
      <w:szCs w:val="20"/>
    </w:rPr>
  </w:style>
  <w:style w:type="paragraph" w:customStyle="1" w:styleId="85">
    <w:name w:val="样式0表换行"/>
    <w:basedOn w:val="1"/>
    <w:qFormat/>
    <w:uiPriority w:val="0"/>
    <w:pPr>
      <w:spacing w:line="300" w:lineRule="auto"/>
      <w:jc w:val="center"/>
    </w:pPr>
    <w:rPr>
      <w:szCs w:val="20"/>
    </w:rPr>
  </w:style>
  <w:style w:type="paragraph" w:customStyle="1" w:styleId="86">
    <w:name w:val="水保2级"/>
    <w:basedOn w:val="3"/>
    <w:qFormat/>
    <w:uiPriority w:val="0"/>
    <w:rPr>
      <w:rFonts w:eastAsia="宋体" w:cs="Times New Roman"/>
      <w:sz w:val="28"/>
    </w:rPr>
  </w:style>
  <w:style w:type="paragraph" w:customStyle="1" w:styleId="87">
    <w:name w:val="xl24"/>
    <w:basedOn w:val="1"/>
    <w:qFormat/>
    <w:uiPriority w:val="0"/>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88">
    <w:name w:val="水保3级"/>
    <w:basedOn w:val="4"/>
    <w:qFormat/>
    <w:uiPriority w:val="0"/>
    <w:pPr>
      <w:keepLines/>
      <w:spacing w:before="260" w:after="260"/>
      <w:ind w:firstLine="480" w:firstLineChars="200"/>
    </w:pPr>
    <w:rPr>
      <w:rFonts w:eastAsia="宋体"/>
      <w:sz w:val="28"/>
      <w:szCs w:val="32"/>
    </w:rPr>
  </w:style>
  <w:style w:type="paragraph" w:customStyle="1" w:styleId="89">
    <w:name w:val="样式2"/>
    <w:basedOn w:val="2"/>
    <w:qFormat/>
    <w:uiPriority w:val="0"/>
  </w:style>
  <w:style w:type="paragraph" w:customStyle="1" w:styleId="90">
    <w:name w:val="水保4级"/>
    <w:basedOn w:val="5"/>
    <w:qFormat/>
    <w:uiPriority w:val="0"/>
    <w:pPr>
      <w:keepLines/>
      <w:numPr>
        <w:ilvl w:val="0"/>
        <w:numId w:val="0"/>
      </w:numPr>
      <w:spacing w:before="280" w:after="290" w:line="360" w:lineRule="auto"/>
      <w:jc w:val="both"/>
    </w:pPr>
    <w:rPr>
      <w:rFonts w:ascii="Arial" w:hAnsi="Arial"/>
      <w:b w:val="0"/>
      <w:color w:val="auto"/>
      <w:szCs w:val="28"/>
    </w:rPr>
  </w:style>
  <w:style w:type="paragraph" w:customStyle="1" w:styleId="91">
    <w:name w:val="样式 水保3级 + 首行缩进:  2 字符"/>
    <w:basedOn w:val="88"/>
    <w:qFormat/>
    <w:uiPriority w:val="0"/>
    <w:pPr>
      <w:ind w:firstLine="560"/>
    </w:pPr>
    <w:rPr>
      <w:rFonts w:cs="宋体"/>
      <w:bCs w:val="0"/>
      <w:szCs w:val="20"/>
    </w:rPr>
  </w:style>
  <w:style w:type="paragraph" w:customStyle="1" w:styleId="92">
    <w:name w:val="1"/>
    <w:basedOn w:val="1"/>
    <w:next w:val="18"/>
    <w:qFormat/>
    <w:uiPriority w:val="0"/>
    <w:pPr>
      <w:framePr w:hSpace="180" w:wrap="around" w:vAnchor="text" w:hAnchor="margin" w:x="1116" w:y="311"/>
      <w:jc w:val="center"/>
    </w:pPr>
    <w:rPr>
      <w:sz w:val="24"/>
    </w:rPr>
  </w:style>
  <w:style w:type="paragraph" w:customStyle="1" w:styleId="93">
    <w:name w:val="xl27"/>
    <w:basedOn w:val="1"/>
    <w:qFormat/>
    <w:uiPriority w:val="0"/>
    <w:pPr>
      <w:widowControl/>
      <w:spacing w:before="100" w:beforeAutospacing="1" w:after="100" w:afterAutospacing="1"/>
      <w:jc w:val="center"/>
      <w:textAlignment w:val="top"/>
    </w:pPr>
    <w:rPr>
      <w:rFonts w:ascii="宋体" w:hAnsi="宋体"/>
      <w:kern w:val="0"/>
      <w:sz w:val="24"/>
    </w:rPr>
  </w:style>
  <w:style w:type="paragraph" w:customStyle="1" w:styleId="94">
    <w:name w:val="xl25"/>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Cs w:val="21"/>
    </w:rPr>
  </w:style>
  <w:style w:type="paragraph" w:customStyle="1" w:styleId="95">
    <w:name w:val="xl26"/>
    <w:basedOn w:val="1"/>
    <w:qFormat/>
    <w:uiPriority w:val="0"/>
    <w:pPr>
      <w:widowControl/>
      <w:spacing w:before="100" w:beforeAutospacing="1" w:after="100" w:afterAutospacing="1"/>
      <w:jc w:val="left"/>
    </w:pPr>
    <w:rPr>
      <w:rFonts w:ascii="宋体" w:hAnsi="宋体"/>
      <w:color w:val="FF0000"/>
      <w:kern w:val="0"/>
      <w:sz w:val="24"/>
    </w:rPr>
  </w:style>
  <w:style w:type="paragraph" w:customStyle="1" w:styleId="96">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97">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FF0000"/>
      <w:kern w:val="0"/>
      <w:szCs w:val="21"/>
    </w:rPr>
  </w:style>
  <w:style w:type="paragraph" w:customStyle="1" w:styleId="98">
    <w:name w:val="3"/>
    <w:basedOn w:val="1"/>
    <w:next w:val="18"/>
    <w:qFormat/>
    <w:uiPriority w:val="0"/>
    <w:pPr>
      <w:spacing w:after="120"/>
    </w:pPr>
  </w:style>
  <w:style w:type="paragraph" w:customStyle="1" w:styleId="99">
    <w:name w:val="4"/>
    <w:basedOn w:val="1"/>
    <w:qFormat/>
    <w:uiPriority w:val="0"/>
  </w:style>
  <w:style w:type="character" w:customStyle="1" w:styleId="100">
    <w:name w:val="grame"/>
    <w:basedOn w:val="50"/>
    <w:qFormat/>
    <w:uiPriority w:val="0"/>
  </w:style>
  <w:style w:type="paragraph" w:customStyle="1" w:styleId="101">
    <w:name w:val="6"/>
    <w:basedOn w:val="1"/>
    <w:next w:val="41"/>
    <w:qFormat/>
    <w:uiPriority w:val="0"/>
    <w:pPr>
      <w:widowControl/>
      <w:spacing w:before="100" w:beforeAutospacing="1" w:after="100" w:afterAutospacing="1"/>
      <w:jc w:val="left"/>
    </w:pPr>
    <w:rPr>
      <w:rFonts w:ascii="宋体" w:hAnsi="宋体" w:cs="宋体"/>
      <w:kern w:val="0"/>
      <w:sz w:val="24"/>
    </w:rPr>
  </w:style>
  <w:style w:type="paragraph" w:customStyle="1" w:styleId="102">
    <w:name w:val="305"/>
    <w:basedOn w:val="1"/>
    <w:qFormat/>
    <w:uiPriority w:val="0"/>
    <w:pPr>
      <w:widowControl/>
      <w:spacing w:before="100" w:beforeAutospacing="1" w:after="100" w:afterAutospacing="1"/>
      <w:jc w:val="left"/>
    </w:pPr>
    <w:rPr>
      <w:rFonts w:ascii="宋体" w:hAnsi="宋体"/>
      <w:kern w:val="0"/>
      <w:sz w:val="24"/>
    </w:rPr>
  </w:style>
  <w:style w:type="paragraph" w:customStyle="1" w:styleId="103">
    <w:name w:val="样式 样式 样式 样式 标题 3 + 首行缩进:  0 厘米1 + 首行缩进:  0 厘米 + 首行缩进:  0 字符 + 首行..."/>
    <w:basedOn w:val="1"/>
    <w:qFormat/>
    <w:uiPriority w:val="0"/>
    <w:pPr>
      <w:keepNext/>
      <w:keepLines/>
      <w:outlineLvl w:val="2"/>
    </w:pPr>
    <w:rPr>
      <w:sz w:val="28"/>
      <w:szCs w:val="20"/>
    </w:rPr>
  </w:style>
  <w:style w:type="paragraph" w:customStyle="1" w:styleId="104">
    <w:name w:val="5"/>
    <w:basedOn w:val="1"/>
    <w:next w:val="41"/>
    <w:qFormat/>
    <w:uiPriority w:val="0"/>
    <w:pPr>
      <w:widowControl/>
      <w:spacing w:before="100" w:beforeAutospacing="1" w:after="100" w:afterAutospacing="1"/>
      <w:jc w:val="left"/>
    </w:pPr>
    <w:rPr>
      <w:rFonts w:ascii="宋体" w:hAnsi="宋体" w:cs="宋体"/>
      <w:kern w:val="0"/>
      <w:sz w:val="24"/>
    </w:rPr>
  </w:style>
  <w:style w:type="paragraph" w:customStyle="1" w:styleId="105">
    <w:name w:val="Char Char Char Char Char Char"/>
    <w:basedOn w:val="1"/>
    <w:qFormat/>
    <w:uiPriority w:val="0"/>
    <w:pPr>
      <w:spacing w:line="360" w:lineRule="auto"/>
      <w:ind w:firstLine="200" w:firstLineChars="200"/>
    </w:pPr>
    <w:rPr>
      <w:rFonts w:ascii="宋体" w:hAnsi="宋体" w:cs="宋体"/>
      <w:sz w:val="24"/>
    </w:rPr>
  </w:style>
  <w:style w:type="paragraph" w:customStyle="1" w:styleId="106">
    <w:name w:val="Char Char"/>
    <w:basedOn w:val="1"/>
    <w:qFormat/>
    <w:uiPriority w:val="0"/>
    <w:pPr>
      <w:spacing w:line="360" w:lineRule="auto"/>
      <w:ind w:firstLine="200" w:firstLineChars="200"/>
    </w:pPr>
    <w:rPr>
      <w:rFonts w:ascii="宋体" w:hAnsi="宋体" w:cs="宋体"/>
      <w:sz w:val="24"/>
    </w:rPr>
  </w:style>
  <w:style w:type="paragraph" w:customStyle="1" w:styleId="107">
    <w:name w:val="Char Char Char"/>
    <w:basedOn w:val="1"/>
    <w:qFormat/>
    <w:uiPriority w:val="0"/>
    <w:pPr>
      <w:spacing w:line="360" w:lineRule="auto"/>
      <w:ind w:firstLine="200" w:firstLineChars="200"/>
    </w:pPr>
    <w:rPr>
      <w:rFonts w:ascii="宋体" w:hAnsi="宋体" w:cs="宋体"/>
      <w:sz w:val="24"/>
    </w:rPr>
  </w:style>
  <w:style w:type="paragraph" w:customStyle="1" w:styleId="108">
    <w:name w:val="7"/>
    <w:basedOn w:val="1"/>
    <w:next w:val="23"/>
    <w:qFormat/>
    <w:uiPriority w:val="0"/>
    <w:rPr>
      <w:rFonts w:ascii="宋体" w:hAnsi="Courier New" w:cs="Courier New"/>
      <w:szCs w:val="21"/>
    </w:rPr>
  </w:style>
  <w:style w:type="paragraph" w:customStyle="1" w:styleId="109">
    <w:name w:val="font5"/>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10">
    <w:name w:val="font6"/>
    <w:basedOn w:val="1"/>
    <w:qFormat/>
    <w:uiPriority w:val="0"/>
    <w:pPr>
      <w:widowControl/>
      <w:spacing w:before="100" w:beforeAutospacing="1" w:after="100" w:afterAutospacing="1"/>
      <w:jc w:val="left"/>
    </w:pPr>
    <w:rPr>
      <w:kern w:val="0"/>
      <w:sz w:val="20"/>
      <w:szCs w:val="20"/>
    </w:rPr>
  </w:style>
  <w:style w:type="paragraph" w:customStyle="1" w:styleId="111">
    <w:name w:val="font7"/>
    <w:basedOn w:val="1"/>
    <w:qFormat/>
    <w:uiPriority w:val="0"/>
    <w:pPr>
      <w:widowControl/>
      <w:spacing w:before="100" w:beforeAutospacing="1" w:after="100" w:afterAutospacing="1"/>
      <w:jc w:val="left"/>
    </w:pPr>
    <w:rPr>
      <w:kern w:val="0"/>
      <w:sz w:val="20"/>
      <w:szCs w:val="20"/>
    </w:rPr>
  </w:style>
  <w:style w:type="paragraph" w:customStyle="1" w:styleId="112">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13">
    <w:name w:val="xl32"/>
    <w:basedOn w:val="1"/>
    <w:qFormat/>
    <w:uiPriority w:val="0"/>
    <w:pPr>
      <w:widowControl/>
      <w:pBdr>
        <w:bottom w:val="single" w:color="auto" w:sz="4" w:space="0"/>
      </w:pBdr>
      <w:spacing w:before="100" w:beforeAutospacing="1" w:after="100" w:afterAutospacing="1"/>
      <w:jc w:val="center"/>
    </w:pPr>
    <w:rPr>
      <w:rFonts w:ascii="宋体" w:hAnsi="宋体"/>
      <w:kern w:val="0"/>
      <w:sz w:val="20"/>
      <w:szCs w:val="20"/>
    </w:rPr>
  </w:style>
  <w:style w:type="paragraph" w:customStyle="1" w:styleId="114">
    <w:name w:val="xl33"/>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115">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kern w:val="0"/>
      <w:sz w:val="20"/>
      <w:szCs w:val="20"/>
    </w:rPr>
  </w:style>
  <w:style w:type="paragraph" w:customStyle="1" w:styleId="116">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20"/>
      <w:szCs w:val="20"/>
    </w:rPr>
  </w:style>
  <w:style w:type="paragraph" w:customStyle="1" w:styleId="117">
    <w:name w:val="xl36"/>
    <w:basedOn w:val="1"/>
    <w:qFormat/>
    <w:uiPriority w:val="0"/>
    <w:pPr>
      <w:widowControl/>
      <w:pBdr>
        <w:bottom w:val="single" w:color="auto" w:sz="4" w:space="0"/>
        <w:right w:val="single" w:color="auto" w:sz="4" w:space="0"/>
      </w:pBdr>
      <w:spacing w:before="100" w:beforeAutospacing="1" w:after="100" w:afterAutospacing="1"/>
    </w:pPr>
    <w:rPr>
      <w:kern w:val="0"/>
      <w:sz w:val="20"/>
      <w:szCs w:val="20"/>
    </w:rPr>
  </w:style>
  <w:style w:type="paragraph" w:customStyle="1" w:styleId="118">
    <w:name w:val="xl37"/>
    <w:basedOn w:val="1"/>
    <w:qFormat/>
    <w:uiPriority w:val="0"/>
    <w:pPr>
      <w:widowControl/>
      <w:pBdr>
        <w:bottom w:val="single" w:color="auto" w:sz="4" w:space="0"/>
      </w:pBdr>
      <w:spacing w:before="100" w:beforeAutospacing="1" w:after="100" w:afterAutospacing="1"/>
    </w:pPr>
    <w:rPr>
      <w:kern w:val="0"/>
      <w:sz w:val="20"/>
      <w:szCs w:val="20"/>
    </w:rPr>
  </w:style>
  <w:style w:type="paragraph" w:customStyle="1" w:styleId="119">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120">
    <w:name w:val="xl39"/>
    <w:basedOn w:val="1"/>
    <w:qFormat/>
    <w:uiPriority w:val="0"/>
    <w:pPr>
      <w:widowControl/>
      <w:pBdr>
        <w:left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121">
    <w:name w:val="xl40"/>
    <w:basedOn w:val="1"/>
    <w:qFormat/>
    <w:uiPriority w:val="0"/>
    <w:pPr>
      <w:widowControl/>
      <w:pBdr>
        <w:left w:val="single" w:color="auto" w:sz="4" w:space="0"/>
        <w:right w:val="single" w:color="auto" w:sz="4" w:space="0"/>
      </w:pBdr>
      <w:spacing w:before="100" w:beforeAutospacing="1" w:after="100" w:afterAutospacing="1"/>
      <w:textAlignment w:val="top"/>
    </w:pPr>
    <w:rPr>
      <w:kern w:val="0"/>
      <w:sz w:val="20"/>
      <w:szCs w:val="20"/>
    </w:rPr>
  </w:style>
  <w:style w:type="paragraph" w:customStyle="1" w:styleId="122">
    <w:name w:val="xl41"/>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123">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124">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 w:val="20"/>
      <w:szCs w:val="20"/>
    </w:rPr>
  </w:style>
  <w:style w:type="paragraph" w:customStyle="1" w:styleId="125">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26">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0"/>
      <w:szCs w:val="20"/>
    </w:rPr>
  </w:style>
  <w:style w:type="paragraph" w:customStyle="1" w:styleId="127">
    <w:name w:val="xl4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0"/>
      <w:szCs w:val="20"/>
    </w:rPr>
  </w:style>
  <w:style w:type="paragraph" w:customStyle="1" w:styleId="128">
    <w:name w:val="xl47"/>
    <w:basedOn w:val="1"/>
    <w:qFormat/>
    <w:uiPriority w:val="0"/>
    <w:pPr>
      <w:widowControl/>
      <w:pBdr>
        <w:bottom w:val="single" w:color="auto" w:sz="4" w:space="0"/>
        <w:right w:val="single" w:color="auto" w:sz="4" w:space="0"/>
      </w:pBdr>
      <w:spacing w:before="100" w:beforeAutospacing="1" w:after="100" w:afterAutospacing="1"/>
    </w:pPr>
    <w:rPr>
      <w:kern w:val="0"/>
      <w:sz w:val="20"/>
      <w:szCs w:val="20"/>
    </w:rPr>
  </w:style>
  <w:style w:type="paragraph" w:customStyle="1" w:styleId="129">
    <w:name w:val="xl48"/>
    <w:basedOn w:val="1"/>
    <w:qFormat/>
    <w:uiPriority w:val="0"/>
    <w:pPr>
      <w:widowControl/>
      <w:pBdr>
        <w:bottom w:val="single" w:color="auto" w:sz="4" w:space="0"/>
      </w:pBdr>
      <w:spacing w:before="100" w:beforeAutospacing="1" w:after="100" w:afterAutospacing="1"/>
    </w:pPr>
    <w:rPr>
      <w:kern w:val="0"/>
      <w:sz w:val="20"/>
      <w:szCs w:val="20"/>
    </w:rPr>
  </w:style>
  <w:style w:type="paragraph" w:customStyle="1" w:styleId="130">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13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132">
    <w:name w:val="xl51"/>
    <w:basedOn w:val="1"/>
    <w:qFormat/>
    <w:uiPriority w:val="0"/>
    <w:pPr>
      <w:widowControl/>
      <w:pBdr>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133">
    <w:name w:val="Char Char Char Char Char Char1 Char Char Char"/>
    <w:basedOn w:val="1"/>
    <w:qFormat/>
    <w:uiPriority w:val="0"/>
    <w:pPr>
      <w:spacing w:line="360" w:lineRule="auto"/>
      <w:ind w:firstLine="200" w:firstLineChars="200"/>
    </w:pPr>
    <w:rPr>
      <w:rFonts w:ascii="宋体" w:hAnsi="宋体" w:cs="宋体"/>
      <w:sz w:val="24"/>
    </w:rPr>
  </w:style>
  <w:style w:type="paragraph" w:customStyle="1" w:styleId="134">
    <w:name w:val="Char Char Char Char Char Char1"/>
    <w:basedOn w:val="1"/>
    <w:qFormat/>
    <w:uiPriority w:val="0"/>
    <w:pPr>
      <w:spacing w:line="360" w:lineRule="auto"/>
      <w:ind w:firstLine="200" w:firstLineChars="200"/>
    </w:pPr>
    <w:rPr>
      <w:rFonts w:ascii="宋体" w:hAnsi="宋体" w:cs="宋体"/>
      <w:sz w:val="24"/>
    </w:rPr>
  </w:style>
  <w:style w:type="paragraph" w:customStyle="1" w:styleId="135">
    <w:name w:val="Char Char Char Char Char Char3"/>
    <w:basedOn w:val="1"/>
    <w:qFormat/>
    <w:uiPriority w:val="0"/>
    <w:pPr>
      <w:spacing w:line="360" w:lineRule="auto"/>
      <w:ind w:firstLine="200" w:firstLineChars="200"/>
    </w:pPr>
    <w:rPr>
      <w:rFonts w:ascii="宋体" w:hAnsi="宋体" w:cs="宋体"/>
      <w:sz w:val="24"/>
    </w:rPr>
  </w:style>
  <w:style w:type="paragraph" w:customStyle="1" w:styleId="136">
    <w:name w:val="Char Char Char Char Char Char3 Char Char Char"/>
    <w:basedOn w:val="1"/>
    <w:qFormat/>
    <w:uiPriority w:val="0"/>
    <w:pPr>
      <w:spacing w:line="360" w:lineRule="auto"/>
      <w:ind w:firstLine="200" w:firstLineChars="200"/>
    </w:pPr>
    <w:rPr>
      <w:rFonts w:ascii="宋体" w:hAnsi="宋体" w:cs="宋体"/>
      <w:sz w:val="24"/>
    </w:rPr>
  </w:style>
  <w:style w:type="paragraph" w:customStyle="1" w:styleId="137">
    <w:name w:val="Char Char Char Char Char Char3 Char Char Char Char Char Char"/>
    <w:basedOn w:val="1"/>
    <w:qFormat/>
    <w:uiPriority w:val="0"/>
    <w:pPr>
      <w:spacing w:line="360" w:lineRule="auto"/>
      <w:ind w:firstLine="200" w:firstLineChars="200"/>
    </w:pPr>
    <w:rPr>
      <w:rFonts w:ascii="宋体" w:hAnsi="宋体" w:cs="宋体"/>
      <w:sz w:val="24"/>
    </w:rPr>
  </w:style>
  <w:style w:type="paragraph" w:customStyle="1" w:styleId="138">
    <w:name w:val="Char Char Char Char Char Char1 Char Char Char1"/>
    <w:basedOn w:val="1"/>
    <w:qFormat/>
    <w:uiPriority w:val="0"/>
    <w:pPr>
      <w:spacing w:line="360" w:lineRule="auto"/>
      <w:ind w:firstLine="200" w:firstLineChars="200"/>
    </w:pPr>
    <w:rPr>
      <w:rFonts w:ascii="宋体" w:hAnsi="宋体" w:cs="宋体"/>
      <w:sz w:val="24"/>
    </w:rPr>
  </w:style>
  <w:style w:type="paragraph" w:customStyle="1" w:styleId="139">
    <w:name w:val="Char Char Char Char Char Char1 Char Char Char1 Char Char Char"/>
    <w:basedOn w:val="1"/>
    <w:qFormat/>
    <w:uiPriority w:val="0"/>
    <w:pPr>
      <w:spacing w:line="360" w:lineRule="auto"/>
      <w:ind w:firstLine="200" w:firstLineChars="200"/>
    </w:pPr>
    <w:rPr>
      <w:rFonts w:ascii="宋体" w:hAnsi="宋体" w:cs="宋体"/>
      <w:sz w:val="24"/>
    </w:rPr>
  </w:style>
  <w:style w:type="paragraph" w:customStyle="1" w:styleId="140">
    <w:name w:val="Char Char Char Char Char Char3 Char Char Char Char Char Char Char"/>
    <w:basedOn w:val="1"/>
    <w:qFormat/>
    <w:uiPriority w:val="0"/>
    <w:pPr>
      <w:spacing w:line="360" w:lineRule="auto"/>
      <w:ind w:firstLine="200" w:firstLineChars="200"/>
    </w:pPr>
    <w:rPr>
      <w:rFonts w:ascii="宋体" w:hAnsi="宋体" w:cs="宋体"/>
      <w:sz w:val="24"/>
    </w:rPr>
  </w:style>
  <w:style w:type="paragraph" w:customStyle="1" w:styleId="141">
    <w:name w:val="Char Char Char Char Char Char1 Char Char Char1 Char Char Char Char Char Char Char1"/>
    <w:basedOn w:val="1"/>
    <w:qFormat/>
    <w:uiPriority w:val="0"/>
    <w:pPr>
      <w:spacing w:line="360" w:lineRule="auto"/>
      <w:ind w:firstLine="200" w:firstLineChars="200"/>
    </w:pPr>
    <w:rPr>
      <w:rFonts w:ascii="宋体" w:hAnsi="宋体" w:cs="宋体"/>
      <w:sz w:val="24"/>
    </w:rPr>
  </w:style>
  <w:style w:type="paragraph" w:customStyle="1" w:styleId="142">
    <w:name w:val="Char1 Char Char Char"/>
    <w:basedOn w:val="1"/>
    <w:qFormat/>
    <w:uiPriority w:val="0"/>
    <w:pPr>
      <w:spacing w:line="360" w:lineRule="auto"/>
      <w:ind w:firstLine="200" w:firstLineChars="200"/>
    </w:pPr>
    <w:rPr>
      <w:rFonts w:ascii="宋体" w:hAnsi="宋体" w:cs="宋体"/>
      <w:sz w:val="24"/>
    </w:rPr>
  </w:style>
  <w:style w:type="paragraph" w:customStyle="1" w:styleId="143">
    <w:name w:val="Char1 Char Char Char1"/>
    <w:basedOn w:val="1"/>
    <w:qFormat/>
    <w:uiPriority w:val="0"/>
    <w:pPr>
      <w:spacing w:line="360" w:lineRule="auto"/>
      <w:ind w:firstLine="200" w:firstLineChars="200"/>
    </w:pPr>
    <w:rPr>
      <w:rFonts w:ascii="宋体" w:hAnsi="宋体" w:cs="宋体"/>
      <w:sz w:val="24"/>
    </w:rPr>
  </w:style>
  <w:style w:type="paragraph" w:customStyle="1" w:styleId="144">
    <w:name w:val="样式 标题 2 + 首行缩进:  0 厘米"/>
    <w:basedOn w:val="3"/>
    <w:qFormat/>
    <w:uiPriority w:val="0"/>
    <w:pPr>
      <w:tabs>
        <w:tab w:val="left" w:pos="0"/>
      </w:tabs>
      <w:spacing w:line="300" w:lineRule="auto"/>
      <w:ind w:left="113"/>
    </w:pPr>
    <w:rPr>
      <w:rFonts w:eastAsia="宋体" w:cs="宋体"/>
      <w:bCs w:val="0"/>
      <w:sz w:val="28"/>
      <w:szCs w:val="20"/>
    </w:rPr>
  </w:style>
  <w:style w:type="paragraph" w:customStyle="1" w:styleId="145">
    <w:name w:val="样式 标题 3 + 首行缩进:  0 厘米"/>
    <w:basedOn w:val="4"/>
    <w:qFormat/>
    <w:uiPriority w:val="0"/>
    <w:pPr>
      <w:keepLines/>
      <w:tabs>
        <w:tab w:val="left" w:leader="dot" w:pos="284"/>
      </w:tabs>
      <w:ind w:firstLine="100" w:firstLineChars="100"/>
    </w:pPr>
    <w:rPr>
      <w:rFonts w:eastAsia="宋体" w:cs="宋体"/>
      <w:bCs w:val="0"/>
      <w:sz w:val="28"/>
      <w:szCs w:val="20"/>
    </w:rPr>
  </w:style>
  <w:style w:type="paragraph" w:customStyle="1" w:styleId="146">
    <w:name w:val="样式 标题 3 + 首行缩进:  0 厘米1"/>
    <w:basedOn w:val="4"/>
    <w:qFormat/>
    <w:uiPriority w:val="0"/>
    <w:pPr>
      <w:keepLines/>
    </w:pPr>
    <w:rPr>
      <w:rFonts w:eastAsia="宋体" w:cs="宋体"/>
      <w:bCs w:val="0"/>
      <w:sz w:val="28"/>
      <w:szCs w:val="20"/>
    </w:rPr>
  </w:style>
  <w:style w:type="paragraph" w:customStyle="1" w:styleId="147">
    <w:name w:val="样式 样式 标题 3 + 首行缩进:  0 厘米1 + 首行缩进:  0 厘米"/>
    <w:basedOn w:val="146"/>
    <w:qFormat/>
    <w:uiPriority w:val="0"/>
    <w:pPr>
      <w:ind w:firstLine="100"/>
    </w:pPr>
  </w:style>
  <w:style w:type="paragraph" w:customStyle="1" w:styleId="148">
    <w:name w:val="样式 样式 样式 标题 3 + 首行缩进:  0 厘米1 + 首行缩进:  0 厘米 + 首行缩进:  0 字符"/>
    <w:basedOn w:val="147"/>
    <w:qFormat/>
    <w:uiPriority w:val="0"/>
    <w:pPr>
      <w:ind w:firstLine="0"/>
    </w:pPr>
  </w:style>
  <w:style w:type="character" w:customStyle="1" w:styleId="149">
    <w:name w:val="正文文本 Char"/>
    <w:link w:val="18"/>
    <w:qFormat/>
    <w:uiPriority w:val="0"/>
    <w:rPr>
      <w:rFonts w:eastAsia="宋体"/>
      <w:kern w:val="2"/>
      <w:sz w:val="21"/>
      <w:szCs w:val="24"/>
      <w:lang w:val="en-US" w:eastAsia="zh-CN" w:bidi="ar-SA"/>
    </w:rPr>
  </w:style>
  <w:style w:type="paragraph" w:customStyle="1" w:styleId="150">
    <w:name w:val="Char Char Char Char Char Char2"/>
    <w:basedOn w:val="1"/>
    <w:qFormat/>
    <w:uiPriority w:val="0"/>
    <w:pPr>
      <w:spacing w:line="360" w:lineRule="auto"/>
      <w:ind w:firstLine="200" w:firstLineChars="200"/>
    </w:pPr>
    <w:rPr>
      <w:rFonts w:ascii="宋体" w:hAnsi="宋体" w:cs="宋体"/>
      <w:sz w:val="24"/>
    </w:rPr>
  </w:style>
  <w:style w:type="paragraph" w:customStyle="1" w:styleId="151">
    <w:name w:val="Char Char Char1"/>
    <w:basedOn w:val="1"/>
    <w:qFormat/>
    <w:uiPriority w:val="0"/>
    <w:pPr>
      <w:spacing w:line="360" w:lineRule="auto"/>
      <w:ind w:firstLine="200" w:firstLineChars="200"/>
    </w:pPr>
    <w:rPr>
      <w:rFonts w:ascii="宋体" w:hAnsi="宋体" w:cs="宋体"/>
      <w:sz w:val="24"/>
    </w:rPr>
  </w:style>
  <w:style w:type="paragraph" w:customStyle="1" w:styleId="152">
    <w:name w:val="font8"/>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53">
    <w:name w:val="xl52"/>
    <w:basedOn w:val="1"/>
    <w:qFormat/>
    <w:uiPriority w:val="0"/>
    <w:pPr>
      <w:widowControl/>
      <w:pBdr>
        <w:bottom w:val="single" w:color="auto" w:sz="4" w:space="0"/>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154">
    <w:name w:val="xl5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color w:val="000000"/>
      <w:kern w:val="0"/>
      <w:sz w:val="24"/>
      <w:szCs w:val="21"/>
    </w:rPr>
  </w:style>
  <w:style w:type="paragraph" w:customStyle="1" w:styleId="155">
    <w:name w:val="Char Char Char Char Char Char1 Char Char Char1 Char"/>
    <w:basedOn w:val="1"/>
    <w:qFormat/>
    <w:uiPriority w:val="0"/>
    <w:pPr>
      <w:spacing w:line="360" w:lineRule="auto"/>
      <w:ind w:firstLine="200" w:firstLineChars="200"/>
    </w:pPr>
    <w:rPr>
      <w:rFonts w:ascii="宋体" w:hAnsi="宋体" w:cs="宋体"/>
      <w:sz w:val="24"/>
    </w:rPr>
  </w:style>
  <w:style w:type="paragraph" w:customStyle="1" w:styleId="156">
    <w:name w:val="Char Char Char Char Char Char1 Char Char Char1 Char Char Char Char Char Char"/>
    <w:basedOn w:val="1"/>
    <w:qFormat/>
    <w:uiPriority w:val="0"/>
    <w:pPr>
      <w:spacing w:line="360" w:lineRule="auto"/>
      <w:ind w:firstLine="200" w:firstLineChars="200"/>
    </w:pPr>
    <w:rPr>
      <w:rFonts w:ascii="宋体" w:hAnsi="宋体" w:cs="宋体"/>
      <w:sz w:val="24"/>
    </w:rPr>
  </w:style>
  <w:style w:type="paragraph" w:customStyle="1" w:styleId="157">
    <w:name w:val="表格标题"/>
    <w:basedOn w:val="18"/>
    <w:qFormat/>
    <w:uiPriority w:val="0"/>
    <w:pPr>
      <w:autoSpaceDE w:val="0"/>
      <w:autoSpaceDN w:val="0"/>
      <w:adjustRightInd w:val="0"/>
      <w:spacing w:afterLines="50" w:line="480" w:lineRule="exact"/>
      <w:jc w:val="center"/>
      <w:textAlignment w:val="baseline"/>
    </w:pPr>
    <w:rPr>
      <w:rFonts w:ascii="黑体" w:eastAsia="黑体"/>
      <w:b/>
      <w:color w:val="000000"/>
      <w:kern w:val="0"/>
      <w:sz w:val="28"/>
      <w:szCs w:val="20"/>
    </w:rPr>
  </w:style>
  <w:style w:type="paragraph" w:customStyle="1" w:styleId="158">
    <w:name w:val="表格文字"/>
    <w:basedOn w:val="18"/>
    <w:next w:val="1"/>
    <w:link w:val="380"/>
    <w:qFormat/>
    <w:uiPriority w:val="0"/>
    <w:pPr>
      <w:tabs>
        <w:tab w:val="left" w:pos="3720"/>
      </w:tabs>
      <w:autoSpaceDE w:val="0"/>
      <w:autoSpaceDN w:val="0"/>
      <w:adjustRightInd w:val="0"/>
      <w:spacing w:after="0"/>
      <w:jc w:val="center"/>
      <w:textAlignment w:val="bottom"/>
    </w:pPr>
    <w:rPr>
      <w:rFonts w:ascii="Calibri" w:hAnsi="Calibri"/>
      <w:kern w:val="0"/>
      <w:szCs w:val="20"/>
    </w:rPr>
  </w:style>
  <w:style w:type="paragraph" w:customStyle="1" w:styleId="159">
    <w:name w:val="样式 标题 3 + 首行缩进:  2 字符"/>
    <w:basedOn w:val="4"/>
    <w:qFormat/>
    <w:uiPriority w:val="0"/>
    <w:pPr>
      <w:keepLines/>
      <w:adjustRightInd w:val="0"/>
      <w:snapToGrid w:val="0"/>
      <w:spacing w:before="100" w:beforeAutospacing="1" w:after="100" w:afterAutospacing="1" w:line="440" w:lineRule="exact"/>
    </w:pPr>
    <w:rPr>
      <w:rFonts w:hAnsi="黑体" w:eastAsia="宋体"/>
      <w:bCs w:val="0"/>
      <w:snapToGrid w:val="0"/>
      <w:color w:val="000000"/>
      <w:sz w:val="28"/>
      <w:szCs w:val="20"/>
    </w:rPr>
  </w:style>
  <w:style w:type="paragraph" w:customStyle="1" w:styleId="160">
    <w:name w:val="Char4"/>
    <w:basedOn w:val="1"/>
    <w:qFormat/>
    <w:uiPriority w:val="0"/>
    <w:pPr>
      <w:spacing w:line="360" w:lineRule="auto"/>
      <w:ind w:firstLine="200" w:firstLineChars="200"/>
    </w:pPr>
    <w:rPr>
      <w:rFonts w:ascii="宋体" w:hAnsi="宋体" w:cs="宋体"/>
      <w:sz w:val="24"/>
    </w:rPr>
  </w:style>
  <w:style w:type="paragraph" w:customStyle="1" w:styleId="161">
    <w:name w:val="表名"/>
    <w:basedOn w:val="1"/>
    <w:link w:val="162"/>
    <w:qFormat/>
    <w:uiPriority w:val="0"/>
    <w:pPr>
      <w:overflowPunct w:val="0"/>
      <w:spacing w:before="120" w:line="300" w:lineRule="exact"/>
      <w:textAlignment w:val="baseline"/>
    </w:pPr>
    <w:rPr>
      <w:rFonts w:eastAsia="黑体"/>
      <w:sz w:val="28"/>
      <w:szCs w:val="20"/>
    </w:rPr>
  </w:style>
  <w:style w:type="character" w:customStyle="1" w:styleId="162">
    <w:name w:val="表名 Char"/>
    <w:link w:val="161"/>
    <w:qFormat/>
    <w:uiPriority w:val="0"/>
    <w:rPr>
      <w:rFonts w:eastAsia="黑体"/>
      <w:kern w:val="2"/>
      <w:sz w:val="28"/>
      <w:lang w:val="en-US" w:eastAsia="zh-CN" w:bidi="ar-SA"/>
    </w:rPr>
  </w:style>
  <w:style w:type="paragraph" w:customStyle="1" w:styleId="163">
    <w:name w:val="表名 Char Char Char"/>
    <w:basedOn w:val="1"/>
    <w:qFormat/>
    <w:uiPriority w:val="0"/>
    <w:pPr>
      <w:overflowPunct w:val="0"/>
      <w:spacing w:before="120" w:line="300" w:lineRule="exact"/>
      <w:textAlignment w:val="baseline"/>
    </w:pPr>
    <w:rPr>
      <w:rFonts w:eastAsia="黑体"/>
      <w:sz w:val="28"/>
      <w:szCs w:val="20"/>
    </w:rPr>
  </w:style>
  <w:style w:type="paragraph" w:customStyle="1" w:styleId="164">
    <w:name w:val="样式 样式 (符号) 宋体 左侧:  0.74 厘米 首行缩进:  0 厘米 + 左侧:  0.74 厘米 首行缩进:  0 ..."/>
    <w:basedOn w:val="44"/>
    <w:qFormat/>
    <w:uiPriority w:val="0"/>
    <w:pPr>
      <w:adjustRightInd w:val="0"/>
      <w:snapToGrid w:val="0"/>
      <w:spacing w:before="100" w:beforeAutospacing="1" w:after="0" w:afterAutospacing="1" w:line="360" w:lineRule="auto"/>
      <w:ind w:firstLine="200" w:firstLineChars="200"/>
    </w:pPr>
    <w:rPr>
      <w:snapToGrid w:val="0"/>
      <w:sz w:val="28"/>
      <w:szCs w:val="20"/>
    </w:rPr>
  </w:style>
  <w:style w:type="paragraph" w:customStyle="1" w:styleId="165">
    <w:name w:val="xl22"/>
    <w:basedOn w:val="1"/>
    <w:semiHidden/>
    <w:qFormat/>
    <w:uiPriority w:val="0"/>
    <w:pPr>
      <w:widowControl/>
      <w:pBdr>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snapToGrid w:val="0"/>
      <w:kern w:val="0"/>
      <w:sz w:val="24"/>
      <w:szCs w:val="21"/>
    </w:rPr>
  </w:style>
  <w:style w:type="paragraph" w:customStyle="1" w:styleId="166">
    <w:name w:val="样式 样式1 + 段前: 0.5 行"/>
    <w:basedOn w:val="82"/>
    <w:semiHidden/>
    <w:qFormat/>
    <w:uiPriority w:val="0"/>
    <w:pPr>
      <w:adjustRightInd w:val="0"/>
      <w:spacing w:before="120" w:beforeAutospacing="1" w:after="100" w:afterAutospacing="1" w:line="360" w:lineRule="auto"/>
      <w:jc w:val="left"/>
    </w:pPr>
    <w:rPr>
      <w:rFonts w:ascii="宋体" w:hAnsi="宋体"/>
      <w:bCs/>
      <w:snapToGrid w:val="0"/>
      <w:color w:val="000000"/>
      <w:sz w:val="24"/>
      <w:szCs w:val="20"/>
    </w:rPr>
  </w:style>
  <w:style w:type="paragraph" w:customStyle="1" w:styleId="167">
    <w:name w:val="日期1"/>
    <w:basedOn w:val="1"/>
    <w:next w:val="1"/>
    <w:qFormat/>
    <w:uiPriority w:val="0"/>
    <w:pPr>
      <w:adjustRightInd w:val="0"/>
      <w:spacing w:beforeAutospacing="1" w:after="100" w:afterAutospacing="1"/>
      <w:ind w:firstLine="200" w:firstLineChars="200"/>
      <w:textAlignment w:val="baseline"/>
    </w:pPr>
    <w:rPr>
      <w:snapToGrid w:val="0"/>
      <w:sz w:val="24"/>
      <w:szCs w:val="20"/>
    </w:rPr>
  </w:style>
  <w:style w:type="paragraph" w:customStyle="1" w:styleId="168">
    <w:name w:val="bg"/>
    <w:basedOn w:val="1"/>
    <w:qFormat/>
    <w:uiPriority w:val="0"/>
    <w:pPr>
      <w:widowControl/>
      <w:snapToGrid w:val="0"/>
      <w:jc w:val="center"/>
    </w:pPr>
    <w:rPr>
      <w:rFonts w:cs="宋体"/>
      <w:snapToGrid w:val="0"/>
      <w:color w:val="000000"/>
      <w:sz w:val="18"/>
      <w:szCs w:val="18"/>
    </w:rPr>
  </w:style>
  <w:style w:type="paragraph" w:customStyle="1" w:styleId="169">
    <w:name w:val="样式 标题 1 + 首行缩进:  2 字符"/>
    <w:basedOn w:val="2"/>
    <w:qFormat/>
    <w:uiPriority w:val="0"/>
    <w:pPr>
      <w:adjustRightInd w:val="0"/>
      <w:snapToGrid w:val="0"/>
      <w:spacing w:line="440" w:lineRule="exact"/>
      <w:jc w:val="left"/>
    </w:pPr>
    <w:rPr>
      <w:bCs w:val="0"/>
      <w:snapToGrid w:val="0"/>
      <w:sz w:val="32"/>
      <w:szCs w:val="32"/>
    </w:rPr>
  </w:style>
  <w:style w:type="paragraph" w:customStyle="1" w:styleId="170">
    <w:name w:val="样式 标题 2 + Times New Roman 首行缩进:  2 字符"/>
    <w:basedOn w:val="3"/>
    <w:qFormat/>
    <w:uiPriority w:val="0"/>
    <w:pPr>
      <w:adjustRightInd w:val="0"/>
      <w:snapToGrid w:val="0"/>
      <w:spacing w:before="120" w:line="360" w:lineRule="auto"/>
    </w:pPr>
    <w:rPr>
      <w:rFonts w:ascii="Times New Roman" w:hAnsi="Times New Roman" w:eastAsia="宋体" w:cs="Times New Roman"/>
      <w:snapToGrid w:val="0"/>
      <w:sz w:val="28"/>
      <w:szCs w:val="28"/>
    </w:rPr>
  </w:style>
  <w:style w:type="paragraph" w:customStyle="1" w:styleId="171">
    <w:name w:val="样式 标题 2 + 首行缩进:  2 字符"/>
    <w:basedOn w:val="3"/>
    <w:qFormat/>
    <w:uiPriority w:val="0"/>
    <w:pPr>
      <w:adjustRightInd w:val="0"/>
      <w:snapToGrid w:val="0"/>
      <w:spacing w:beforeAutospacing="1" w:afterAutospacing="1" w:line="360" w:lineRule="auto"/>
      <w:ind w:firstLine="592" w:firstLineChars="200"/>
    </w:pPr>
    <w:rPr>
      <w:rFonts w:ascii="黑体" w:hAnsi="宋体" w:cs="宋体"/>
      <w:bCs w:val="0"/>
      <w:snapToGrid w:val="0"/>
      <w:kern w:val="0"/>
      <w:sz w:val="30"/>
      <w:szCs w:val="20"/>
    </w:rPr>
  </w:style>
  <w:style w:type="paragraph" w:customStyle="1" w:styleId="172">
    <w:name w:val="表头1"/>
    <w:basedOn w:val="1"/>
    <w:qFormat/>
    <w:uiPriority w:val="0"/>
    <w:pPr>
      <w:adjustRightInd w:val="0"/>
      <w:snapToGrid w:val="0"/>
      <w:spacing w:before="100" w:beforeAutospacing="1" w:after="100" w:afterAutospacing="1"/>
      <w:jc w:val="center"/>
    </w:pPr>
    <w:rPr>
      <w:b/>
      <w:snapToGrid w:val="0"/>
      <w:sz w:val="24"/>
    </w:rPr>
  </w:style>
  <w:style w:type="paragraph" w:customStyle="1" w:styleId="173">
    <w:name w:val="表5"/>
    <w:basedOn w:val="84"/>
    <w:qFormat/>
    <w:uiPriority w:val="0"/>
    <w:pPr>
      <w:autoSpaceDE/>
      <w:autoSpaceDN/>
      <w:snapToGrid w:val="0"/>
      <w:spacing w:line="240" w:lineRule="auto"/>
      <w:jc w:val="center"/>
      <w:textAlignment w:val="auto"/>
    </w:pPr>
    <w:rPr>
      <w:rFonts w:ascii="Times New Roman"/>
      <w:sz w:val="21"/>
      <w:szCs w:val="21"/>
    </w:rPr>
  </w:style>
  <w:style w:type="paragraph" w:customStyle="1" w:styleId="174">
    <w:name w:val="样式 (符号) 宋体 五号 加粗 居中 段前: 0.5 行 行距: 单倍行距"/>
    <w:basedOn w:val="1"/>
    <w:qFormat/>
    <w:uiPriority w:val="0"/>
    <w:pPr>
      <w:snapToGrid w:val="0"/>
      <w:jc w:val="center"/>
    </w:pPr>
    <w:rPr>
      <w:rFonts w:hAnsi="宋体" w:cs="宋体"/>
      <w:b/>
      <w:bCs/>
      <w:kern w:val="0"/>
      <w:sz w:val="24"/>
      <w:szCs w:val="20"/>
    </w:rPr>
  </w:style>
  <w:style w:type="paragraph" w:customStyle="1" w:styleId="175">
    <w:name w:val="样式 右侧:  0 厘米 段前: 0.5 行"/>
    <w:basedOn w:val="1"/>
    <w:qFormat/>
    <w:uiPriority w:val="0"/>
    <w:pPr>
      <w:adjustRightInd w:val="0"/>
      <w:snapToGrid w:val="0"/>
      <w:spacing w:beforeLines="50" w:line="360" w:lineRule="auto"/>
      <w:ind w:firstLine="200" w:firstLineChars="200"/>
    </w:pPr>
    <w:rPr>
      <w:rFonts w:cs="宋体"/>
      <w:sz w:val="24"/>
    </w:rPr>
  </w:style>
  <w:style w:type="character" w:customStyle="1" w:styleId="176">
    <w:name w:val="样式 右侧:  0 厘米 段前: 0.5 行 Char"/>
    <w:qFormat/>
    <w:uiPriority w:val="0"/>
    <w:rPr>
      <w:rFonts w:eastAsia="宋体" w:cs="宋体"/>
      <w:kern w:val="2"/>
      <w:sz w:val="24"/>
      <w:szCs w:val="24"/>
      <w:lang w:val="en-US" w:eastAsia="zh-CN" w:bidi="ar-SA"/>
    </w:rPr>
  </w:style>
  <w:style w:type="paragraph" w:customStyle="1" w:styleId="177">
    <w:name w:val="font0"/>
    <w:basedOn w:val="1"/>
    <w:qFormat/>
    <w:uiPriority w:val="0"/>
    <w:pPr>
      <w:widowControl/>
      <w:spacing w:before="100" w:beforeAutospacing="1" w:after="100" w:afterAutospacing="1"/>
      <w:jc w:val="left"/>
    </w:pPr>
    <w:rPr>
      <w:rFonts w:ascii="宋体" w:hAnsi="宋体"/>
      <w:kern w:val="0"/>
      <w:sz w:val="24"/>
    </w:rPr>
  </w:style>
  <w:style w:type="paragraph" w:customStyle="1" w:styleId="178">
    <w:name w:val="font9"/>
    <w:basedOn w:val="1"/>
    <w:qFormat/>
    <w:uiPriority w:val="0"/>
    <w:pPr>
      <w:widowControl/>
      <w:spacing w:before="100" w:beforeAutospacing="1" w:after="100" w:afterAutospacing="1"/>
      <w:jc w:val="left"/>
    </w:pPr>
    <w:rPr>
      <w:b/>
      <w:bCs/>
      <w:kern w:val="0"/>
      <w:sz w:val="20"/>
      <w:szCs w:val="20"/>
    </w:rPr>
  </w:style>
  <w:style w:type="paragraph" w:customStyle="1" w:styleId="179">
    <w:name w:val="font10"/>
    <w:basedOn w:val="1"/>
    <w:qFormat/>
    <w:uiPriority w:val="0"/>
    <w:pPr>
      <w:widowControl/>
      <w:spacing w:before="100" w:beforeAutospacing="1" w:after="100" w:afterAutospacing="1"/>
      <w:jc w:val="left"/>
    </w:pPr>
    <w:rPr>
      <w:rFonts w:ascii="宋体" w:hAnsi="宋体"/>
      <w:kern w:val="0"/>
      <w:sz w:val="22"/>
      <w:szCs w:val="22"/>
    </w:rPr>
  </w:style>
  <w:style w:type="paragraph" w:customStyle="1" w:styleId="180">
    <w:name w:val="font11"/>
    <w:basedOn w:val="1"/>
    <w:qFormat/>
    <w:uiPriority w:val="0"/>
    <w:pPr>
      <w:widowControl/>
      <w:spacing w:before="100" w:beforeAutospacing="1" w:after="100" w:afterAutospacing="1"/>
      <w:jc w:val="left"/>
    </w:pPr>
    <w:rPr>
      <w:kern w:val="0"/>
      <w:sz w:val="22"/>
      <w:szCs w:val="22"/>
    </w:rPr>
  </w:style>
  <w:style w:type="paragraph" w:customStyle="1" w:styleId="181">
    <w:name w:val="font12"/>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182">
    <w:name w:val="font1"/>
    <w:basedOn w:val="1"/>
    <w:qFormat/>
    <w:uiPriority w:val="0"/>
    <w:pPr>
      <w:widowControl/>
      <w:spacing w:before="100" w:beforeAutospacing="1" w:after="100" w:afterAutospacing="1"/>
      <w:jc w:val="left"/>
    </w:pPr>
    <w:rPr>
      <w:rFonts w:ascii="宋体" w:hAnsi="宋体"/>
      <w:kern w:val="0"/>
      <w:sz w:val="24"/>
    </w:rPr>
  </w:style>
  <w:style w:type="paragraph" w:customStyle="1" w:styleId="183">
    <w:name w:val="样式3"/>
    <w:basedOn w:val="1"/>
    <w:qFormat/>
    <w:uiPriority w:val="0"/>
    <w:pPr>
      <w:adjustRightInd w:val="0"/>
      <w:spacing w:beforeLines="50"/>
    </w:pPr>
    <w:rPr>
      <w:rFonts w:ascii="宋体" w:hAnsi="宋体"/>
      <w:sz w:val="24"/>
    </w:rPr>
  </w:style>
  <w:style w:type="paragraph" w:customStyle="1" w:styleId="184">
    <w:name w:val="批注框文本1"/>
    <w:basedOn w:val="1"/>
    <w:qFormat/>
    <w:uiPriority w:val="0"/>
    <w:pPr>
      <w:snapToGrid w:val="0"/>
      <w:spacing w:beforeLines="50" w:line="360" w:lineRule="auto"/>
    </w:pPr>
    <w:rPr>
      <w:sz w:val="18"/>
      <w:szCs w:val="18"/>
    </w:rPr>
  </w:style>
  <w:style w:type="paragraph" w:customStyle="1" w:styleId="185">
    <w:name w:val="表格1"/>
    <w:basedOn w:val="1"/>
    <w:qFormat/>
    <w:uiPriority w:val="0"/>
    <w:pPr>
      <w:adjustRightInd w:val="0"/>
      <w:spacing w:line="20" w:lineRule="atLeast"/>
      <w:jc w:val="center"/>
      <w:textAlignment w:val="center"/>
    </w:pPr>
    <w:rPr>
      <w:rFonts w:ascii="宋体"/>
      <w:kern w:val="0"/>
      <w:sz w:val="24"/>
      <w:szCs w:val="21"/>
    </w:rPr>
  </w:style>
  <w:style w:type="paragraph" w:customStyle="1" w:styleId="186">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eastAsia="Arial Unicode MS"/>
      <w:kern w:val="0"/>
      <w:sz w:val="24"/>
      <w:szCs w:val="21"/>
    </w:rPr>
  </w:style>
  <w:style w:type="paragraph" w:customStyle="1" w:styleId="187">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4"/>
      <w:szCs w:val="21"/>
    </w:rPr>
  </w:style>
  <w:style w:type="paragraph" w:customStyle="1" w:styleId="188">
    <w:name w:val="样式4"/>
    <w:basedOn w:val="2"/>
    <w:qFormat/>
    <w:uiPriority w:val="0"/>
    <w:pPr>
      <w:pageBreakBefore/>
      <w:snapToGrid w:val="0"/>
      <w:spacing w:beforeLines="50"/>
    </w:pPr>
    <w:rPr>
      <w:bCs w:val="0"/>
      <w:kern w:val="0"/>
      <w:sz w:val="32"/>
    </w:rPr>
  </w:style>
  <w:style w:type="paragraph" w:customStyle="1" w:styleId="189">
    <w:name w:val="样式6"/>
    <w:basedOn w:val="1"/>
    <w:qFormat/>
    <w:uiPriority w:val="0"/>
    <w:pPr>
      <w:framePr w:wrap="around" w:vAnchor="text" w:hAnchor="text" w:y="1"/>
      <w:snapToGrid w:val="0"/>
      <w:jc w:val="left"/>
    </w:pPr>
    <w:rPr>
      <w:sz w:val="24"/>
      <w:szCs w:val="21"/>
    </w:rPr>
  </w:style>
  <w:style w:type="paragraph" w:customStyle="1" w:styleId="190">
    <w:name w:val="样式5"/>
    <w:basedOn w:val="185"/>
    <w:qFormat/>
    <w:uiPriority w:val="0"/>
    <w:pPr>
      <w:snapToGrid w:val="0"/>
      <w:spacing w:line="240" w:lineRule="auto"/>
      <w:textAlignment w:val="auto"/>
    </w:pPr>
    <w:rPr>
      <w:rFonts w:ascii="Times New Roman"/>
      <w:snapToGrid w:val="0"/>
      <w:kern w:val="2"/>
      <w:szCs w:val="20"/>
    </w:rPr>
  </w:style>
  <w:style w:type="paragraph" w:customStyle="1" w:styleId="191">
    <w:name w:val="样式 表格 + 左侧:  0.98 厘米"/>
    <w:basedOn w:val="1"/>
    <w:qFormat/>
    <w:uiPriority w:val="0"/>
    <w:pPr>
      <w:adjustRightInd w:val="0"/>
      <w:snapToGrid w:val="0"/>
      <w:spacing w:before="100" w:beforeAutospacing="1" w:after="100" w:afterAutospacing="1" w:line="300" w:lineRule="auto"/>
    </w:pPr>
    <w:rPr>
      <w:rFonts w:ascii="Arial" w:hAnsi="Arial"/>
      <w:snapToGrid w:val="0"/>
      <w:kern w:val="0"/>
      <w:sz w:val="24"/>
      <w:szCs w:val="20"/>
    </w:rPr>
  </w:style>
  <w:style w:type="paragraph" w:customStyle="1" w:styleId="192">
    <w:name w:val="样式 样式 表格 + 左侧:  0.98 厘米 + 居中"/>
    <w:basedOn w:val="191"/>
    <w:qFormat/>
    <w:uiPriority w:val="0"/>
    <w:pPr>
      <w:jc w:val="center"/>
    </w:pPr>
  </w:style>
  <w:style w:type="paragraph" w:customStyle="1" w:styleId="193">
    <w:name w:val="表文"/>
    <w:basedOn w:val="1"/>
    <w:link w:val="194"/>
    <w:qFormat/>
    <w:uiPriority w:val="0"/>
    <w:pPr>
      <w:autoSpaceDE w:val="0"/>
      <w:autoSpaceDN w:val="0"/>
      <w:adjustRightInd w:val="0"/>
      <w:snapToGrid w:val="0"/>
      <w:spacing w:line="300" w:lineRule="exact"/>
      <w:jc w:val="center"/>
      <w:textAlignment w:val="baseline"/>
    </w:pPr>
    <w:rPr>
      <w:kern w:val="0"/>
      <w:sz w:val="18"/>
      <w:szCs w:val="20"/>
    </w:rPr>
  </w:style>
  <w:style w:type="character" w:customStyle="1" w:styleId="194">
    <w:name w:val="表文 Char2"/>
    <w:link w:val="193"/>
    <w:qFormat/>
    <w:uiPriority w:val="0"/>
    <w:rPr>
      <w:rFonts w:eastAsia="宋体"/>
      <w:sz w:val="18"/>
      <w:lang w:val="en-US" w:eastAsia="zh-CN" w:bidi="ar-SA"/>
    </w:rPr>
  </w:style>
  <w:style w:type="paragraph" w:customStyle="1" w:styleId="195">
    <w:name w:val="表号"/>
    <w:basedOn w:val="1"/>
    <w:qFormat/>
    <w:uiPriority w:val="0"/>
    <w:pPr>
      <w:overflowPunct w:val="0"/>
      <w:adjustRightInd w:val="0"/>
      <w:snapToGrid w:val="0"/>
      <w:spacing w:line="320" w:lineRule="exact"/>
      <w:ind w:firstLine="113"/>
      <w:textAlignment w:val="baseline"/>
    </w:pPr>
    <w:rPr>
      <w:sz w:val="18"/>
      <w:szCs w:val="20"/>
    </w:rPr>
  </w:style>
  <w:style w:type="paragraph" w:customStyle="1" w:styleId="196">
    <w:name w:val="样式 样式 正文缩进s4 + 首行缩进:  2 字符 + 首行缩进:  2 字符"/>
    <w:basedOn w:val="1"/>
    <w:qFormat/>
    <w:uiPriority w:val="0"/>
    <w:pPr>
      <w:adjustRightInd w:val="0"/>
      <w:snapToGrid w:val="0"/>
      <w:spacing w:line="360" w:lineRule="auto"/>
      <w:ind w:firstLine="480" w:firstLineChars="200"/>
    </w:pPr>
    <w:rPr>
      <w:rFonts w:eastAsia="仿宋_GB2312"/>
      <w:sz w:val="28"/>
      <w:szCs w:val="20"/>
    </w:rPr>
  </w:style>
  <w:style w:type="paragraph" w:customStyle="1" w:styleId="197">
    <w:name w:val="样式 左侧:  0.98 厘米"/>
    <w:basedOn w:val="1"/>
    <w:qFormat/>
    <w:uiPriority w:val="0"/>
    <w:pPr>
      <w:adjustRightInd w:val="0"/>
      <w:snapToGrid w:val="0"/>
      <w:spacing w:line="490" w:lineRule="exact"/>
      <w:ind w:firstLine="560" w:firstLineChars="200"/>
    </w:pPr>
    <w:rPr>
      <w:rFonts w:eastAsia="仿宋_GB2312"/>
      <w:sz w:val="28"/>
      <w:szCs w:val="20"/>
    </w:rPr>
  </w:style>
  <w:style w:type="character" w:customStyle="1" w:styleId="198">
    <w:name w:val="Char Char1"/>
    <w:link w:val="80"/>
    <w:qFormat/>
    <w:uiPriority w:val="0"/>
    <w:rPr>
      <w:rFonts w:ascii="宋体" w:hAnsi="宋体" w:eastAsia="宋体" w:cs="宋体"/>
      <w:kern w:val="2"/>
      <w:sz w:val="24"/>
      <w:szCs w:val="24"/>
      <w:lang w:val="en-US" w:eastAsia="zh-CN" w:bidi="ar-SA"/>
    </w:rPr>
  </w:style>
  <w:style w:type="paragraph" w:customStyle="1" w:styleId="199">
    <w:name w:val="zz"/>
    <w:basedOn w:val="1"/>
    <w:qFormat/>
    <w:uiPriority w:val="0"/>
    <w:pPr>
      <w:adjustRightInd w:val="0"/>
      <w:spacing w:line="360" w:lineRule="auto"/>
      <w:ind w:firstLine="567"/>
      <w:textAlignment w:val="baseline"/>
    </w:pPr>
    <w:rPr>
      <w:rFonts w:ascii="宋体"/>
      <w:kern w:val="28"/>
      <w:sz w:val="28"/>
      <w:szCs w:val="20"/>
    </w:rPr>
  </w:style>
  <w:style w:type="paragraph" w:customStyle="1" w:styleId="200">
    <w:name w:val="表格文字2"/>
    <w:basedOn w:val="1"/>
    <w:qFormat/>
    <w:uiPriority w:val="0"/>
    <w:pPr>
      <w:adjustRightInd w:val="0"/>
      <w:spacing w:before="60" w:line="240" w:lineRule="atLeast"/>
      <w:jc w:val="center"/>
      <w:textAlignment w:val="baseline"/>
    </w:pPr>
    <w:rPr>
      <w:kern w:val="0"/>
      <w:sz w:val="24"/>
      <w:szCs w:val="20"/>
    </w:rPr>
  </w:style>
  <w:style w:type="paragraph" w:customStyle="1" w:styleId="201">
    <w:name w:val="我的正文"/>
    <w:basedOn w:val="19"/>
    <w:qFormat/>
    <w:uiPriority w:val="0"/>
    <w:pPr>
      <w:adjustRightInd w:val="0"/>
      <w:spacing w:line="360" w:lineRule="auto"/>
      <w:ind w:left="0" w:leftChars="0" w:firstLine="200" w:firstLineChars="200"/>
      <w:jc w:val="both"/>
      <w:textAlignment w:val="baseline"/>
    </w:pPr>
    <w:rPr>
      <w:rFonts w:ascii="Times New Roman" w:hAnsi="Times New Roman"/>
      <w:kern w:val="0"/>
      <w:sz w:val="24"/>
      <w:szCs w:val="24"/>
    </w:rPr>
  </w:style>
  <w:style w:type="paragraph" w:customStyle="1" w:styleId="202">
    <w:name w:val="样式 正文文本缩进 2 + 左侧:  0.98 厘米 首行缩进:  2 字符"/>
    <w:basedOn w:val="26"/>
    <w:qFormat/>
    <w:uiPriority w:val="0"/>
    <w:pPr>
      <w:adjustRightInd w:val="0"/>
      <w:snapToGrid w:val="0"/>
      <w:spacing w:after="0" w:line="360" w:lineRule="auto"/>
      <w:ind w:left="0" w:leftChars="0" w:firstLine="560" w:firstLineChars="200"/>
    </w:pPr>
    <w:rPr>
      <w:rFonts w:eastAsia="仿宋_GB2312"/>
      <w:sz w:val="28"/>
      <w:szCs w:val="20"/>
    </w:rPr>
  </w:style>
  <w:style w:type="paragraph" w:customStyle="1" w:styleId="203">
    <w:name w:val="Char Char Char Char Char Char3 Char Char Char Char Char Char Char1"/>
    <w:basedOn w:val="1"/>
    <w:qFormat/>
    <w:uiPriority w:val="0"/>
    <w:pPr>
      <w:spacing w:line="360" w:lineRule="auto"/>
      <w:ind w:firstLine="200" w:firstLineChars="200"/>
    </w:pPr>
    <w:rPr>
      <w:rFonts w:ascii="宋体" w:hAnsi="宋体" w:cs="宋体"/>
      <w:sz w:val="24"/>
    </w:rPr>
  </w:style>
  <w:style w:type="paragraph" w:customStyle="1" w:styleId="204">
    <w:name w:val="样式 标题 5标题（五） + 左侧:  0 厘米 首行缩进:  0 厘米"/>
    <w:basedOn w:val="6"/>
    <w:qFormat/>
    <w:uiPriority w:val="0"/>
    <w:pPr>
      <w:keepLines/>
      <w:tabs>
        <w:tab w:val="left" w:pos="0"/>
      </w:tabs>
      <w:adjustRightInd w:val="0"/>
      <w:spacing w:before="280" w:after="290" w:line="376" w:lineRule="atLeast"/>
      <w:jc w:val="left"/>
      <w:textAlignment w:val="baseline"/>
    </w:pPr>
    <w:rPr>
      <w:rFonts w:ascii="Times New Roman" w:hAnsi="Times New Roman"/>
      <w:color w:val="auto"/>
      <w:kern w:val="0"/>
      <w:szCs w:val="20"/>
    </w:rPr>
  </w:style>
  <w:style w:type="paragraph" w:customStyle="1" w:styleId="205">
    <w:name w:val="正文（首行缩进2字符）"/>
    <w:basedOn w:val="1"/>
    <w:qFormat/>
    <w:uiPriority w:val="0"/>
    <w:pPr>
      <w:topLinePunct/>
      <w:spacing w:line="360" w:lineRule="auto"/>
      <w:ind w:firstLine="200" w:firstLineChars="200"/>
    </w:pPr>
    <w:rPr>
      <w:rFonts w:cs="宋体"/>
      <w:sz w:val="28"/>
      <w:szCs w:val="28"/>
    </w:rPr>
  </w:style>
  <w:style w:type="paragraph" w:customStyle="1" w:styleId="206">
    <w:name w:val="样式 题注 + 左侧:  0.98 厘米 首行缩进:  2 字符"/>
    <w:basedOn w:val="14"/>
    <w:qFormat/>
    <w:uiPriority w:val="0"/>
    <w:pPr>
      <w:adjustRightInd w:val="0"/>
      <w:snapToGrid w:val="0"/>
      <w:spacing w:before="120" w:line="300" w:lineRule="exact"/>
      <w:ind w:firstLine="480" w:firstLineChars="200"/>
      <w:jc w:val="center"/>
    </w:pPr>
    <w:rPr>
      <w:color w:val="000000"/>
      <w:sz w:val="24"/>
    </w:rPr>
  </w:style>
  <w:style w:type="paragraph" w:customStyle="1" w:styleId="207">
    <w:name w:val="正文文字标准"/>
    <w:basedOn w:val="44"/>
    <w:qFormat/>
    <w:uiPriority w:val="0"/>
    <w:pPr>
      <w:spacing w:after="0" w:line="480" w:lineRule="exact"/>
      <w:ind w:firstLine="200" w:firstLineChars="200"/>
    </w:pPr>
    <w:rPr>
      <w:sz w:val="28"/>
    </w:rPr>
  </w:style>
  <w:style w:type="paragraph" w:customStyle="1" w:styleId="208">
    <w:name w:val="说明书正文"/>
    <w:basedOn w:val="1"/>
    <w:qFormat/>
    <w:uiPriority w:val="0"/>
    <w:pPr>
      <w:spacing w:line="480" w:lineRule="exact"/>
      <w:ind w:firstLine="600" w:firstLineChars="200"/>
    </w:pPr>
    <w:rPr>
      <w:rFonts w:eastAsia="仿宋_GB2312"/>
      <w:color w:val="000000"/>
      <w:sz w:val="30"/>
    </w:rPr>
  </w:style>
  <w:style w:type="paragraph" w:customStyle="1" w:styleId="209">
    <w:name w:val="Char2"/>
    <w:basedOn w:val="1"/>
    <w:qFormat/>
    <w:uiPriority w:val="0"/>
    <w:pPr>
      <w:spacing w:line="360" w:lineRule="auto"/>
    </w:pPr>
    <w:rPr>
      <w:sz w:val="24"/>
    </w:rPr>
  </w:style>
  <w:style w:type="paragraph" w:customStyle="1" w:styleId="210">
    <w:name w:val="报告正文"/>
    <w:basedOn w:val="1"/>
    <w:qFormat/>
    <w:uiPriority w:val="0"/>
    <w:pPr>
      <w:spacing w:line="360" w:lineRule="auto"/>
      <w:ind w:firstLine="503" w:firstLineChars="200"/>
    </w:pPr>
    <w:rPr>
      <w:rFonts w:ascii="宋体"/>
      <w:b/>
      <w:sz w:val="24"/>
      <w:szCs w:val="18"/>
    </w:rPr>
  </w:style>
  <w:style w:type="paragraph" w:customStyle="1" w:styleId="211">
    <w:name w:val="font13"/>
    <w:basedOn w:val="1"/>
    <w:qFormat/>
    <w:uiPriority w:val="0"/>
    <w:pPr>
      <w:widowControl/>
      <w:spacing w:before="100" w:beforeAutospacing="1" w:after="100" w:afterAutospacing="1"/>
      <w:jc w:val="left"/>
    </w:pPr>
    <w:rPr>
      <w:rFonts w:ascii="宋体" w:hAnsi="宋体" w:cs="宋体"/>
      <w:color w:val="000000"/>
      <w:kern w:val="0"/>
      <w:szCs w:val="21"/>
      <w:u w:val="single"/>
    </w:rPr>
  </w:style>
  <w:style w:type="paragraph" w:customStyle="1" w:styleId="212">
    <w:name w:val="样式9"/>
    <w:basedOn w:val="3"/>
    <w:qFormat/>
    <w:uiPriority w:val="0"/>
    <w:pPr>
      <w:spacing w:line="360" w:lineRule="auto"/>
      <w:jc w:val="left"/>
    </w:pPr>
    <w:rPr>
      <w:rFonts w:cs="Times New Roman"/>
      <w:bCs w:val="0"/>
      <w:szCs w:val="20"/>
    </w:rPr>
  </w:style>
  <w:style w:type="paragraph" w:customStyle="1" w:styleId="213">
    <w:name w:val="Char Char Char Char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214">
    <w:name w:val="表体"/>
    <w:basedOn w:val="1"/>
    <w:qFormat/>
    <w:uiPriority w:val="0"/>
    <w:pPr>
      <w:spacing w:line="300" w:lineRule="exact"/>
      <w:jc w:val="center"/>
    </w:pPr>
    <w:rPr>
      <w:rFonts w:ascii="宋体" w:hAnsi="宋体"/>
      <w:szCs w:val="21"/>
    </w:rPr>
  </w:style>
  <w:style w:type="paragraph" w:customStyle="1" w:styleId="215">
    <w:name w:val="gg_body"/>
    <w:basedOn w:val="1"/>
    <w:qFormat/>
    <w:uiPriority w:val="0"/>
    <w:pPr>
      <w:spacing w:line="460" w:lineRule="exact"/>
      <w:ind w:firstLine="200"/>
    </w:pPr>
    <w:rPr>
      <w:rFonts w:ascii="宋体" w:hAnsi="宋体"/>
      <w:sz w:val="24"/>
      <w:szCs w:val="20"/>
    </w:rPr>
  </w:style>
  <w:style w:type="character" w:customStyle="1" w:styleId="216">
    <w:name w:val="正文（首行缩进两字） Char Char Char Char1"/>
    <w:qFormat/>
    <w:uiPriority w:val="0"/>
    <w:rPr>
      <w:rFonts w:eastAsia="宋体"/>
      <w:kern w:val="2"/>
      <w:sz w:val="21"/>
      <w:lang w:val="en-US" w:eastAsia="zh-CN" w:bidi="ar-SA"/>
    </w:rPr>
  </w:style>
  <w:style w:type="paragraph" w:customStyle="1" w:styleId="217">
    <w:name w:val="表正文"/>
    <w:basedOn w:val="1"/>
    <w:qFormat/>
    <w:uiPriority w:val="0"/>
    <w:pPr>
      <w:spacing w:line="240" w:lineRule="atLeast"/>
      <w:jc w:val="center"/>
    </w:pPr>
    <w:rPr>
      <w:spacing w:val="-6"/>
      <w:sz w:val="24"/>
      <w:szCs w:val="20"/>
    </w:rPr>
  </w:style>
  <w:style w:type="paragraph" w:customStyle="1" w:styleId="218">
    <w:name w:val="正文小标题"/>
    <w:basedOn w:val="1"/>
    <w:qFormat/>
    <w:uiPriority w:val="0"/>
    <w:pPr>
      <w:numPr>
        <w:ilvl w:val="0"/>
        <w:numId w:val="2"/>
      </w:numPr>
      <w:tabs>
        <w:tab w:val="left" w:pos="964"/>
      </w:tabs>
      <w:overflowPunct w:val="0"/>
      <w:autoSpaceDE w:val="0"/>
      <w:autoSpaceDN w:val="0"/>
      <w:adjustRightInd w:val="0"/>
      <w:spacing w:line="360" w:lineRule="auto"/>
      <w:jc w:val="left"/>
      <w:textAlignment w:val="baseline"/>
    </w:pPr>
    <w:rPr>
      <w:spacing w:val="10"/>
      <w:kern w:val="0"/>
      <w:sz w:val="24"/>
      <w:szCs w:val="20"/>
    </w:rPr>
  </w:style>
  <w:style w:type="paragraph" w:customStyle="1" w:styleId="219">
    <w:name w:val="正文（首行缩进）"/>
    <w:basedOn w:val="1"/>
    <w:qFormat/>
    <w:uiPriority w:val="0"/>
    <w:pPr>
      <w:snapToGrid w:val="0"/>
      <w:spacing w:line="288" w:lineRule="auto"/>
      <w:ind w:firstLine="200" w:firstLineChars="200"/>
    </w:pPr>
    <w:rPr>
      <w:sz w:val="24"/>
    </w:rPr>
  </w:style>
  <w:style w:type="paragraph" w:customStyle="1" w:styleId="220">
    <w:name w:val="标题3"/>
    <w:basedOn w:val="13"/>
    <w:qFormat/>
    <w:uiPriority w:val="0"/>
    <w:pPr>
      <w:snapToGrid w:val="0"/>
      <w:ind w:firstLine="609"/>
    </w:pPr>
    <w:rPr>
      <w:rFonts w:ascii="宋体" w:hAnsi="宋体"/>
      <w:sz w:val="28"/>
      <w:szCs w:val="20"/>
    </w:rPr>
  </w:style>
  <w:style w:type="paragraph" w:customStyle="1" w:styleId="221">
    <w:name w:val="样式 首行缩进:  2 字符2"/>
    <w:basedOn w:val="1"/>
    <w:qFormat/>
    <w:uiPriority w:val="0"/>
    <w:pPr>
      <w:ind w:firstLine="200" w:firstLineChars="200"/>
    </w:pPr>
    <w:rPr>
      <w:rFonts w:cs="宋体"/>
      <w:spacing w:val="6"/>
      <w:sz w:val="24"/>
    </w:rPr>
  </w:style>
  <w:style w:type="paragraph" w:customStyle="1" w:styleId="222">
    <w:name w:val="默认段落字体 Char Char Char"/>
    <w:basedOn w:val="1"/>
    <w:qFormat/>
    <w:uiPriority w:val="0"/>
    <w:rPr>
      <w:sz w:val="24"/>
    </w:rPr>
  </w:style>
  <w:style w:type="paragraph" w:customStyle="1" w:styleId="223">
    <w:name w:val="5号正文"/>
    <w:qFormat/>
    <w:uiPriority w:val="0"/>
    <w:pPr>
      <w:widowControl w:val="0"/>
      <w:adjustRightInd w:val="0"/>
      <w:snapToGrid w:val="0"/>
      <w:spacing w:line="360" w:lineRule="auto"/>
      <w:ind w:firstLine="480" w:firstLineChars="200"/>
      <w:jc w:val="both"/>
    </w:pPr>
    <w:rPr>
      <w:rFonts w:ascii="楷体_GB2312" w:hAnsi="宋体" w:eastAsia="楷体_GB2312" w:cs="Times New Roman"/>
      <w:snapToGrid w:val="0"/>
      <w:sz w:val="24"/>
      <w:szCs w:val="28"/>
      <w:lang w:val="en-US" w:eastAsia="zh-CN" w:bidi="ar-SA"/>
    </w:rPr>
  </w:style>
  <w:style w:type="character" w:customStyle="1" w:styleId="224">
    <w:name w:val="标题 3 Char"/>
    <w:link w:val="4"/>
    <w:qFormat/>
    <w:uiPriority w:val="0"/>
    <w:rPr>
      <w:rFonts w:ascii="Cambria" w:hAnsi="Cambria" w:eastAsia="黑体"/>
      <w:bCs/>
      <w:kern w:val="2"/>
      <w:sz w:val="30"/>
      <w:szCs w:val="30"/>
    </w:rPr>
  </w:style>
  <w:style w:type="paragraph" w:customStyle="1" w:styleId="225">
    <w:name w:val="表首"/>
    <w:basedOn w:val="1"/>
    <w:link w:val="226"/>
    <w:qFormat/>
    <w:uiPriority w:val="0"/>
    <w:pPr>
      <w:spacing w:beforeLines="50" w:line="520" w:lineRule="exact"/>
      <w:jc w:val="center"/>
    </w:pPr>
    <w:rPr>
      <w:rFonts w:ascii="宋体" w:hAnsi="宋体"/>
      <w:b/>
      <w:kern w:val="0"/>
      <w:sz w:val="28"/>
      <w:szCs w:val="28"/>
    </w:rPr>
  </w:style>
  <w:style w:type="character" w:customStyle="1" w:styleId="226">
    <w:name w:val="表首 Char"/>
    <w:link w:val="225"/>
    <w:qFormat/>
    <w:uiPriority w:val="0"/>
    <w:rPr>
      <w:rFonts w:ascii="宋体" w:hAnsi="宋体" w:eastAsia="宋体"/>
      <w:b/>
      <w:sz w:val="28"/>
      <w:szCs w:val="28"/>
      <w:lang w:val="en-US" w:eastAsia="zh-CN" w:bidi="ar-SA"/>
    </w:rPr>
  </w:style>
  <w:style w:type="character" w:customStyle="1" w:styleId="227">
    <w:name w:val="标题 2 Char"/>
    <w:link w:val="3"/>
    <w:qFormat/>
    <w:uiPriority w:val="0"/>
    <w:rPr>
      <w:rFonts w:ascii="Cambria" w:hAnsi="Cambria" w:eastAsia="黑体" w:cs="Arial"/>
      <w:bCs/>
      <w:kern w:val="2"/>
      <w:sz w:val="32"/>
      <w:szCs w:val="32"/>
    </w:rPr>
  </w:style>
  <w:style w:type="paragraph" w:customStyle="1" w:styleId="228">
    <w:name w:val="Char Char1 Char Char Char Char Char Char Char"/>
    <w:basedOn w:val="1"/>
    <w:semiHidden/>
    <w:qFormat/>
    <w:uiPriority w:val="0"/>
    <w:pPr>
      <w:pageBreakBefore/>
      <w:spacing w:line="480" w:lineRule="auto"/>
      <w:ind w:firstLine="200" w:firstLineChars="200"/>
    </w:pPr>
    <w:rPr>
      <w:rFonts w:ascii="宋体" w:hAnsi="宋体" w:eastAsia="仿宋_GB2312" w:cs="宋体"/>
      <w:sz w:val="28"/>
      <w:szCs w:val="28"/>
    </w:rPr>
  </w:style>
  <w:style w:type="character" w:customStyle="1" w:styleId="229">
    <w:name w:val="正文宋体小四1.5行 Char"/>
    <w:qFormat/>
    <w:uiPriority w:val="0"/>
    <w:rPr>
      <w:rFonts w:ascii="宋体" w:hAnsi="宋体" w:eastAsia="宋体"/>
      <w:kern w:val="2"/>
      <w:sz w:val="28"/>
      <w:lang w:val="en-US" w:eastAsia="zh-CN" w:bidi="ar-SA"/>
    </w:rPr>
  </w:style>
  <w:style w:type="paragraph" w:customStyle="1" w:styleId="230">
    <w:name w:val="地告正文"/>
    <w:basedOn w:val="1"/>
    <w:qFormat/>
    <w:uiPriority w:val="0"/>
    <w:pPr>
      <w:adjustRightInd w:val="0"/>
      <w:snapToGrid w:val="0"/>
      <w:spacing w:line="620" w:lineRule="atLeast"/>
      <w:ind w:firstLine="200" w:firstLineChars="200"/>
    </w:pPr>
    <w:rPr>
      <w:sz w:val="28"/>
    </w:rPr>
  </w:style>
  <w:style w:type="paragraph" w:customStyle="1" w:styleId="231">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character" w:customStyle="1" w:styleId="232">
    <w:name w:val="样式 (西文) ˎ̥ 四号"/>
    <w:qFormat/>
    <w:uiPriority w:val="0"/>
    <w:rPr>
      <w:rFonts w:ascii="ˎ̥" w:hAnsi="ˎ̥"/>
      <w:kern w:val="0"/>
      <w:sz w:val="24"/>
    </w:rPr>
  </w:style>
  <w:style w:type="paragraph" w:customStyle="1" w:styleId="233">
    <w:name w:val="b"/>
    <w:basedOn w:val="3"/>
    <w:qFormat/>
    <w:uiPriority w:val="0"/>
    <w:pPr>
      <w:keepNext w:val="0"/>
      <w:keepLines w:val="0"/>
      <w:widowControl/>
      <w:adjustRightInd w:val="0"/>
      <w:snapToGrid w:val="0"/>
      <w:spacing w:beforeLines="50" w:afterLines="50" w:line="240" w:lineRule="auto"/>
      <w:textAlignment w:val="baseline"/>
    </w:pPr>
    <w:rPr>
      <w:rFonts w:ascii="Times New Roman" w:hAnsi="Times New Roman" w:eastAsia="仿宋_GB2312" w:cs="Times New Roman"/>
      <w:color w:val="000000"/>
      <w:kern w:val="0"/>
    </w:rPr>
  </w:style>
  <w:style w:type="paragraph" w:customStyle="1" w:styleId="234">
    <w:name w:val="Char Char Char Char1"/>
    <w:basedOn w:val="1"/>
    <w:qFormat/>
    <w:uiPriority w:val="0"/>
    <w:pPr>
      <w:spacing w:line="360" w:lineRule="auto"/>
      <w:ind w:firstLine="200" w:firstLineChars="200"/>
    </w:pPr>
    <w:rPr>
      <w:rFonts w:ascii="宋体" w:hAnsi="宋体" w:cs="宋体"/>
      <w:sz w:val="24"/>
    </w:rPr>
  </w:style>
  <w:style w:type="paragraph" w:customStyle="1" w:styleId="235">
    <w:name w:val="正文文本缩进 31"/>
    <w:basedOn w:val="1"/>
    <w:qFormat/>
    <w:uiPriority w:val="0"/>
    <w:pPr>
      <w:adjustRightInd w:val="0"/>
      <w:spacing w:line="360" w:lineRule="atLeast"/>
      <w:ind w:firstLine="480"/>
      <w:textAlignment w:val="baseline"/>
    </w:pPr>
    <w:rPr>
      <w:rFonts w:ascii="宋体"/>
      <w:kern w:val="0"/>
      <w:sz w:val="24"/>
      <w:szCs w:val="20"/>
    </w:rPr>
  </w:style>
  <w:style w:type="character" w:customStyle="1" w:styleId="236">
    <w:name w:val="标题 1 Char"/>
    <w:link w:val="2"/>
    <w:qFormat/>
    <w:uiPriority w:val="0"/>
    <w:rPr>
      <w:rFonts w:ascii="Cambria" w:hAnsi="Cambria" w:eastAsia="黑体"/>
      <w:bCs/>
      <w:kern w:val="44"/>
      <w:sz w:val="36"/>
      <w:szCs w:val="44"/>
    </w:rPr>
  </w:style>
  <w:style w:type="character" w:customStyle="1" w:styleId="237">
    <w:name w:val="文档结构图 Char"/>
    <w:link w:val="15"/>
    <w:semiHidden/>
    <w:qFormat/>
    <w:uiPriority w:val="0"/>
    <w:rPr>
      <w:rFonts w:eastAsia="宋体"/>
      <w:kern w:val="2"/>
      <w:sz w:val="21"/>
      <w:szCs w:val="24"/>
      <w:lang w:val="en-US" w:eastAsia="zh-CN" w:bidi="ar-SA"/>
    </w:rPr>
  </w:style>
  <w:style w:type="character" w:customStyle="1" w:styleId="238">
    <w:name w:val="Char Char7"/>
    <w:qFormat/>
    <w:uiPriority w:val="0"/>
    <w:rPr>
      <w:rFonts w:eastAsia="宋体"/>
      <w:kern w:val="2"/>
      <w:sz w:val="21"/>
      <w:lang w:val="en-US" w:eastAsia="zh-CN"/>
    </w:rPr>
  </w:style>
  <w:style w:type="character" w:customStyle="1" w:styleId="239">
    <w:name w:val="正文粗 Char"/>
    <w:qFormat/>
    <w:uiPriority w:val="0"/>
    <w:rPr>
      <w:rFonts w:eastAsia="宋体"/>
      <w:b/>
      <w:sz w:val="24"/>
      <w:lang w:val="en-US" w:eastAsia="zh-CN"/>
    </w:rPr>
  </w:style>
  <w:style w:type="character" w:customStyle="1" w:styleId="240">
    <w:name w:val="C样式 Char"/>
    <w:link w:val="241"/>
    <w:qFormat/>
    <w:uiPriority w:val="0"/>
    <w:rPr>
      <w:rFonts w:ascii="宋体" w:hAnsi="宋体" w:eastAsia="宋体"/>
      <w:snapToGrid w:val="0"/>
      <w:kern w:val="24"/>
      <w:sz w:val="24"/>
      <w:lang w:val="en-US" w:eastAsia="zh-CN" w:bidi="ar-SA"/>
    </w:rPr>
  </w:style>
  <w:style w:type="paragraph" w:customStyle="1" w:styleId="241">
    <w:name w:val="C样式"/>
    <w:basedOn w:val="13"/>
    <w:link w:val="240"/>
    <w:qFormat/>
    <w:uiPriority w:val="0"/>
    <w:pPr>
      <w:spacing w:line="440" w:lineRule="exact"/>
      <w:ind w:firstLine="424"/>
      <w:jc w:val="both"/>
    </w:pPr>
    <w:rPr>
      <w:rFonts w:ascii="宋体" w:hAnsi="宋体"/>
      <w:snapToGrid w:val="0"/>
      <w:kern w:val="24"/>
      <w:szCs w:val="20"/>
    </w:rPr>
  </w:style>
  <w:style w:type="character" w:customStyle="1" w:styleId="242">
    <w:name w:val="普通文字 Char1"/>
    <w:qFormat/>
    <w:uiPriority w:val="0"/>
    <w:rPr>
      <w:rFonts w:ascii="宋体" w:hAnsi="Courier New" w:eastAsia="宋体" w:cs="Courier New"/>
      <w:b/>
      <w:kern w:val="2"/>
      <w:sz w:val="21"/>
      <w:szCs w:val="21"/>
      <w:lang w:val="en-US" w:eastAsia="zh-CN" w:bidi="ar-SA"/>
    </w:rPr>
  </w:style>
  <w:style w:type="paragraph" w:customStyle="1" w:styleId="243">
    <w:name w:val="标准正文"/>
    <w:basedOn w:val="1"/>
    <w:link w:val="244"/>
    <w:qFormat/>
    <w:uiPriority w:val="0"/>
    <w:pPr>
      <w:autoSpaceDE w:val="0"/>
      <w:autoSpaceDN w:val="0"/>
      <w:adjustRightInd w:val="0"/>
      <w:snapToGrid w:val="0"/>
      <w:spacing w:line="360" w:lineRule="auto"/>
      <w:ind w:firstLine="480" w:firstLineChars="200"/>
    </w:pPr>
    <w:rPr>
      <w:bCs/>
      <w:color w:val="000000"/>
      <w:sz w:val="24"/>
    </w:rPr>
  </w:style>
  <w:style w:type="character" w:customStyle="1" w:styleId="244">
    <w:name w:val="标准正文 Char"/>
    <w:link w:val="243"/>
    <w:qFormat/>
    <w:uiPriority w:val="0"/>
    <w:rPr>
      <w:rFonts w:eastAsia="宋体"/>
      <w:bCs/>
      <w:color w:val="000000"/>
      <w:kern w:val="2"/>
      <w:sz w:val="24"/>
      <w:szCs w:val="24"/>
      <w:lang w:val="en-US" w:eastAsia="zh-CN" w:bidi="ar-SA"/>
    </w:rPr>
  </w:style>
  <w:style w:type="character" w:customStyle="1" w:styleId="245">
    <w:name w:val="页眉 Char"/>
    <w:link w:val="29"/>
    <w:qFormat/>
    <w:uiPriority w:val="99"/>
    <w:rPr>
      <w:rFonts w:eastAsia="宋体"/>
      <w:kern w:val="2"/>
      <w:sz w:val="18"/>
      <w:szCs w:val="18"/>
      <w:lang w:val="en-US" w:eastAsia="zh-CN" w:bidi="ar-SA"/>
    </w:rPr>
  </w:style>
  <w:style w:type="character" w:customStyle="1" w:styleId="246">
    <w:name w:val="页脚 Char"/>
    <w:link w:val="28"/>
    <w:qFormat/>
    <w:uiPriority w:val="99"/>
    <w:rPr>
      <w:rFonts w:eastAsia="宋体"/>
      <w:kern w:val="2"/>
      <w:sz w:val="18"/>
      <w:szCs w:val="18"/>
      <w:lang w:val="en-US" w:eastAsia="zh-CN" w:bidi="ar-SA"/>
    </w:rPr>
  </w:style>
  <w:style w:type="paragraph" w:customStyle="1" w:styleId="247">
    <w:name w:val="Char Char Char2 Char Char Char Char Char Char Char Char Char Char Char Char Char"/>
    <w:basedOn w:val="1"/>
    <w:qFormat/>
    <w:uiPriority w:val="0"/>
  </w:style>
  <w:style w:type="character" w:customStyle="1" w:styleId="248">
    <w:name w:val="正文宋体小四1.5行 Char Char"/>
    <w:qFormat/>
    <w:uiPriority w:val="0"/>
    <w:rPr>
      <w:rFonts w:ascii="宋体" w:hAnsi="宋体" w:eastAsia="宋体"/>
      <w:kern w:val="2"/>
      <w:sz w:val="28"/>
      <w:lang w:val="en-US" w:eastAsia="zh-CN" w:bidi="ar-SA"/>
    </w:rPr>
  </w:style>
  <w:style w:type="paragraph" w:customStyle="1" w:styleId="249">
    <w:name w:val="Char Char Char3 Char"/>
    <w:basedOn w:val="1"/>
    <w:qFormat/>
    <w:uiPriority w:val="0"/>
    <w:pPr>
      <w:autoSpaceDE w:val="0"/>
      <w:autoSpaceDN w:val="0"/>
      <w:adjustRightInd w:val="0"/>
      <w:spacing w:line="360" w:lineRule="auto"/>
      <w:ind w:firstLine="200" w:firstLineChars="200"/>
      <w:textAlignment w:val="baseline"/>
    </w:pPr>
    <w:rPr>
      <w:kern w:val="0"/>
      <w:sz w:val="24"/>
      <w:szCs w:val="20"/>
    </w:rPr>
  </w:style>
  <w:style w:type="paragraph" w:customStyle="1" w:styleId="250">
    <w:name w:val="样式 样式 样式 样式 样式 样式 标题 2 + 宋体 两端对齐 + 段前: 1 行 + 段前: 1 行 + 段前: 0.5 行..."/>
    <w:basedOn w:val="1"/>
    <w:qFormat/>
    <w:uiPriority w:val="0"/>
    <w:pPr>
      <w:keepNext/>
      <w:keepLines/>
      <w:adjustRightInd w:val="0"/>
      <w:snapToGrid w:val="0"/>
      <w:spacing w:beforeLines="50"/>
      <w:jc w:val="left"/>
      <w:outlineLvl w:val="1"/>
    </w:pPr>
    <w:rPr>
      <w:rFonts w:ascii="宋体" w:hAnsi="宋体" w:cs="宋体"/>
      <w:b/>
      <w:bCs/>
      <w:sz w:val="32"/>
      <w:szCs w:val="20"/>
    </w:rPr>
  </w:style>
  <w:style w:type="character" w:customStyle="1" w:styleId="251">
    <w:name w:val="正文文本缩进 2 Char1"/>
    <w:link w:val="26"/>
    <w:qFormat/>
    <w:uiPriority w:val="0"/>
    <w:rPr>
      <w:rFonts w:eastAsia="宋体"/>
      <w:kern w:val="2"/>
      <w:sz w:val="21"/>
      <w:szCs w:val="24"/>
      <w:lang w:val="en-US" w:eastAsia="zh-CN" w:bidi="ar-SA"/>
    </w:rPr>
  </w:style>
  <w:style w:type="paragraph" w:customStyle="1" w:styleId="252">
    <w:name w:val="xl65"/>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0000FF"/>
      <w:kern w:val="0"/>
      <w:szCs w:val="21"/>
    </w:rPr>
  </w:style>
  <w:style w:type="paragraph" w:customStyle="1" w:styleId="253">
    <w:name w:val="xl66"/>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FF0000"/>
      <w:kern w:val="0"/>
      <w:szCs w:val="21"/>
    </w:rPr>
  </w:style>
  <w:style w:type="paragraph" w:customStyle="1" w:styleId="254">
    <w:name w:val="xl67"/>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FF0000"/>
      <w:kern w:val="0"/>
      <w:szCs w:val="21"/>
    </w:rPr>
  </w:style>
  <w:style w:type="paragraph" w:customStyle="1" w:styleId="255">
    <w:name w:val="xl68"/>
    <w:basedOn w:val="1"/>
    <w:qFormat/>
    <w:uiPriority w:val="0"/>
    <w:pPr>
      <w:widowControl/>
      <w:pBdr>
        <w:bottom w:val="single" w:color="auto" w:sz="8" w:space="0"/>
        <w:right w:val="single" w:color="auto" w:sz="12" w:space="0"/>
      </w:pBdr>
      <w:spacing w:before="100" w:beforeAutospacing="1" w:after="100" w:afterAutospacing="1"/>
      <w:jc w:val="center"/>
    </w:pPr>
    <w:rPr>
      <w:rFonts w:ascii="宋体" w:hAnsi="宋体" w:cs="宋体"/>
      <w:color w:val="FF0000"/>
      <w:kern w:val="0"/>
      <w:szCs w:val="21"/>
    </w:rPr>
  </w:style>
  <w:style w:type="paragraph" w:customStyle="1" w:styleId="256">
    <w:name w:val="xl69"/>
    <w:basedOn w:val="1"/>
    <w:qFormat/>
    <w:uiPriority w:val="0"/>
    <w:pPr>
      <w:widowControl/>
      <w:pBdr>
        <w:right w:val="single" w:color="auto" w:sz="8" w:space="0"/>
      </w:pBdr>
      <w:spacing w:before="100" w:beforeAutospacing="1" w:after="100" w:afterAutospacing="1"/>
      <w:jc w:val="center"/>
    </w:pPr>
    <w:rPr>
      <w:rFonts w:ascii="宋体" w:hAnsi="宋体" w:cs="宋体"/>
      <w:color w:val="FF0000"/>
      <w:kern w:val="0"/>
      <w:szCs w:val="21"/>
    </w:rPr>
  </w:style>
  <w:style w:type="paragraph" w:customStyle="1" w:styleId="257">
    <w:name w:val="xl70"/>
    <w:basedOn w:val="1"/>
    <w:qFormat/>
    <w:uiPriority w:val="0"/>
    <w:pPr>
      <w:widowControl/>
      <w:pBdr>
        <w:bottom w:val="single" w:color="auto" w:sz="8" w:space="0"/>
        <w:right w:val="single" w:color="auto" w:sz="8" w:space="0"/>
      </w:pBdr>
      <w:spacing w:before="100" w:beforeAutospacing="1" w:after="100" w:afterAutospacing="1"/>
      <w:jc w:val="center"/>
    </w:pPr>
    <w:rPr>
      <w:color w:val="FF0000"/>
      <w:kern w:val="0"/>
      <w:szCs w:val="21"/>
    </w:rPr>
  </w:style>
  <w:style w:type="paragraph" w:customStyle="1" w:styleId="258">
    <w:name w:val="xl71"/>
    <w:basedOn w:val="1"/>
    <w:qFormat/>
    <w:uiPriority w:val="0"/>
    <w:pPr>
      <w:widowControl/>
      <w:pBdr>
        <w:bottom w:val="single" w:color="auto" w:sz="8" w:space="0"/>
        <w:right w:val="single" w:color="auto" w:sz="8" w:space="0"/>
      </w:pBdr>
      <w:spacing w:before="100" w:beforeAutospacing="1" w:after="100" w:afterAutospacing="1"/>
      <w:jc w:val="center"/>
    </w:pPr>
    <w:rPr>
      <w:color w:val="FF0000"/>
      <w:kern w:val="0"/>
      <w:szCs w:val="21"/>
    </w:rPr>
  </w:style>
  <w:style w:type="paragraph" w:customStyle="1" w:styleId="259">
    <w:name w:val="xl72"/>
    <w:basedOn w:val="1"/>
    <w:qFormat/>
    <w:uiPriority w:val="0"/>
    <w:pPr>
      <w:widowControl/>
      <w:pBdr>
        <w:bottom w:val="single" w:color="auto" w:sz="8" w:space="0"/>
        <w:right w:val="single" w:color="auto" w:sz="12" w:space="0"/>
      </w:pBdr>
      <w:spacing w:before="100" w:beforeAutospacing="1" w:after="100" w:afterAutospacing="1"/>
      <w:jc w:val="center"/>
    </w:pPr>
    <w:rPr>
      <w:color w:val="FF0000"/>
      <w:kern w:val="0"/>
      <w:szCs w:val="21"/>
    </w:rPr>
  </w:style>
  <w:style w:type="paragraph" w:customStyle="1" w:styleId="260">
    <w:name w:val="xl73"/>
    <w:basedOn w:val="1"/>
    <w:qFormat/>
    <w:uiPriority w:val="0"/>
    <w:pPr>
      <w:widowControl/>
      <w:pBdr>
        <w:bottom w:val="single" w:color="auto" w:sz="12" w:space="0"/>
        <w:right w:val="single" w:color="auto" w:sz="8" w:space="0"/>
      </w:pBdr>
      <w:spacing w:before="100" w:beforeAutospacing="1" w:after="100" w:afterAutospacing="1"/>
      <w:jc w:val="center"/>
    </w:pPr>
    <w:rPr>
      <w:color w:val="FF0000"/>
      <w:kern w:val="0"/>
      <w:szCs w:val="21"/>
    </w:rPr>
  </w:style>
  <w:style w:type="paragraph" w:customStyle="1" w:styleId="261">
    <w:name w:val="xl74"/>
    <w:basedOn w:val="1"/>
    <w:qFormat/>
    <w:uiPriority w:val="0"/>
    <w:pPr>
      <w:widowControl/>
      <w:pBdr>
        <w:bottom w:val="single" w:color="auto" w:sz="12" w:space="0"/>
        <w:right w:val="single" w:color="auto" w:sz="8" w:space="0"/>
      </w:pBdr>
      <w:spacing w:before="100" w:beforeAutospacing="1" w:after="100" w:afterAutospacing="1"/>
      <w:jc w:val="center"/>
    </w:pPr>
    <w:rPr>
      <w:color w:val="FF0000"/>
      <w:kern w:val="0"/>
      <w:szCs w:val="21"/>
    </w:rPr>
  </w:style>
  <w:style w:type="paragraph" w:customStyle="1" w:styleId="262">
    <w:name w:val="xl75"/>
    <w:basedOn w:val="1"/>
    <w:qFormat/>
    <w:uiPriority w:val="0"/>
    <w:pPr>
      <w:widowControl/>
      <w:pBdr>
        <w:bottom w:val="single" w:color="auto" w:sz="12" w:space="0"/>
        <w:right w:val="single" w:color="auto" w:sz="12" w:space="0"/>
      </w:pBdr>
      <w:spacing w:before="100" w:beforeAutospacing="1" w:after="100" w:afterAutospacing="1"/>
      <w:jc w:val="center"/>
    </w:pPr>
    <w:rPr>
      <w:color w:val="FF0000"/>
      <w:kern w:val="0"/>
      <w:szCs w:val="21"/>
    </w:rPr>
  </w:style>
  <w:style w:type="paragraph" w:customStyle="1" w:styleId="263">
    <w:name w:val="xl7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color w:val="FF0000"/>
      <w:kern w:val="0"/>
      <w:szCs w:val="21"/>
    </w:rPr>
  </w:style>
  <w:style w:type="paragraph" w:customStyle="1" w:styleId="264">
    <w:name w:val="xl77"/>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color w:val="FF0000"/>
      <w:kern w:val="0"/>
      <w:szCs w:val="21"/>
    </w:rPr>
  </w:style>
  <w:style w:type="paragraph" w:customStyle="1" w:styleId="265">
    <w:name w:val="xl78"/>
    <w:basedOn w:val="1"/>
    <w:qFormat/>
    <w:uiPriority w:val="0"/>
    <w:pPr>
      <w:widowControl/>
      <w:pBdr>
        <w:right w:val="single" w:color="auto" w:sz="8" w:space="0"/>
      </w:pBdr>
      <w:spacing w:before="100" w:beforeAutospacing="1" w:after="100" w:afterAutospacing="1"/>
      <w:jc w:val="center"/>
    </w:pPr>
    <w:rPr>
      <w:rFonts w:ascii="宋体" w:hAnsi="宋体" w:cs="宋体"/>
      <w:color w:val="0000FF"/>
      <w:kern w:val="0"/>
      <w:szCs w:val="21"/>
    </w:rPr>
  </w:style>
  <w:style w:type="paragraph" w:customStyle="1" w:styleId="266">
    <w:name w:val="xl79"/>
    <w:basedOn w:val="1"/>
    <w:qFormat/>
    <w:uiPriority w:val="0"/>
    <w:pPr>
      <w:widowControl/>
      <w:pBdr>
        <w:bottom w:val="single" w:color="auto" w:sz="8" w:space="0"/>
        <w:right w:val="single" w:color="auto" w:sz="8" w:space="0"/>
      </w:pBdr>
      <w:spacing w:before="100" w:beforeAutospacing="1" w:after="100" w:afterAutospacing="1"/>
      <w:jc w:val="center"/>
    </w:pPr>
    <w:rPr>
      <w:color w:val="0000FF"/>
      <w:kern w:val="0"/>
      <w:szCs w:val="21"/>
    </w:rPr>
  </w:style>
  <w:style w:type="paragraph" w:customStyle="1" w:styleId="267">
    <w:name w:val="xl80"/>
    <w:basedOn w:val="1"/>
    <w:qFormat/>
    <w:uiPriority w:val="0"/>
    <w:pPr>
      <w:widowControl/>
      <w:pBdr>
        <w:bottom w:val="single" w:color="auto" w:sz="8" w:space="0"/>
        <w:right w:val="single" w:color="auto" w:sz="8" w:space="0"/>
      </w:pBdr>
      <w:spacing w:before="100" w:beforeAutospacing="1" w:after="100" w:afterAutospacing="1"/>
      <w:jc w:val="center"/>
    </w:pPr>
    <w:rPr>
      <w:color w:val="0000FF"/>
      <w:kern w:val="0"/>
      <w:szCs w:val="21"/>
    </w:rPr>
  </w:style>
  <w:style w:type="paragraph" w:customStyle="1" w:styleId="268">
    <w:name w:val="xl81"/>
    <w:basedOn w:val="1"/>
    <w:qFormat/>
    <w:uiPriority w:val="0"/>
    <w:pPr>
      <w:widowControl/>
      <w:pBdr>
        <w:top w:val="single" w:color="auto" w:sz="8" w:space="0"/>
        <w:left w:val="single" w:color="auto" w:sz="8" w:space="0"/>
        <w:right w:val="single" w:color="auto" w:sz="12" w:space="0"/>
      </w:pBdr>
      <w:spacing w:before="100" w:beforeAutospacing="1" w:after="100" w:afterAutospacing="1"/>
      <w:jc w:val="center"/>
    </w:pPr>
    <w:rPr>
      <w:color w:val="FF0000"/>
      <w:kern w:val="0"/>
      <w:szCs w:val="21"/>
    </w:rPr>
  </w:style>
  <w:style w:type="paragraph" w:customStyle="1" w:styleId="269">
    <w:name w:val="xl82"/>
    <w:basedOn w:val="1"/>
    <w:qFormat/>
    <w:uiPriority w:val="0"/>
    <w:pPr>
      <w:widowControl/>
      <w:pBdr>
        <w:left w:val="single" w:color="auto" w:sz="8" w:space="0"/>
        <w:right w:val="single" w:color="auto" w:sz="12" w:space="0"/>
      </w:pBdr>
      <w:spacing w:before="100" w:beforeAutospacing="1" w:after="100" w:afterAutospacing="1"/>
      <w:jc w:val="center"/>
    </w:pPr>
    <w:rPr>
      <w:color w:val="FF0000"/>
      <w:kern w:val="0"/>
      <w:szCs w:val="21"/>
    </w:rPr>
  </w:style>
  <w:style w:type="paragraph" w:customStyle="1" w:styleId="270">
    <w:name w:val="xl83"/>
    <w:basedOn w:val="1"/>
    <w:qFormat/>
    <w:uiPriority w:val="0"/>
    <w:pPr>
      <w:widowControl/>
      <w:pBdr>
        <w:left w:val="single" w:color="auto" w:sz="8" w:space="0"/>
        <w:bottom w:val="single" w:color="auto" w:sz="8" w:space="0"/>
        <w:right w:val="single" w:color="auto" w:sz="12" w:space="0"/>
      </w:pBdr>
      <w:spacing w:before="100" w:beforeAutospacing="1" w:after="100" w:afterAutospacing="1"/>
      <w:jc w:val="center"/>
    </w:pPr>
    <w:rPr>
      <w:color w:val="FF0000"/>
      <w:kern w:val="0"/>
      <w:szCs w:val="21"/>
    </w:rPr>
  </w:style>
  <w:style w:type="paragraph" w:customStyle="1" w:styleId="271">
    <w:name w:val="xl84"/>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color w:val="FF0000"/>
      <w:kern w:val="0"/>
      <w:szCs w:val="21"/>
    </w:rPr>
  </w:style>
  <w:style w:type="paragraph" w:customStyle="1" w:styleId="272">
    <w:name w:val="xl8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color w:val="FF0000"/>
      <w:kern w:val="0"/>
      <w:szCs w:val="21"/>
    </w:rPr>
  </w:style>
  <w:style w:type="paragraph" w:customStyle="1" w:styleId="273">
    <w:name w:val="xl8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color w:val="FF0000"/>
      <w:kern w:val="0"/>
      <w:szCs w:val="21"/>
    </w:rPr>
  </w:style>
  <w:style w:type="paragraph" w:customStyle="1" w:styleId="274">
    <w:name w:val="xl87"/>
    <w:basedOn w:val="1"/>
    <w:qFormat/>
    <w:uiPriority w:val="0"/>
    <w:pPr>
      <w:widowControl/>
      <w:pBdr>
        <w:top w:val="single" w:color="auto" w:sz="8" w:space="0"/>
        <w:left w:val="single" w:color="auto" w:sz="12" w:space="0"/>
        <w:bottom w:val="single" w:color="auto" w:sz="12" w:space="0"/>
      </w:pBdr>
      <w:spacing w:before="100" w:beforeAutospacing="1" w:after="100" w:afterAutospacing="1"/>
      <w:jc w:val="center"/>
    </w:pPr>
    <w:rPr>
      <w:rFonts w:ascii="宋体" w:hAnsi="宋体" w:cs="宋体"/>
      <w:color w:val="FF0000"/>
      <w:kern w:val="0"/>
      <w:szCs w:val="21"/>
    </w:rPr>
  </w:style>
  <w:style w:type="paragraph" w:customStyle="1" w:styleId="275">
    <w:name w:val="xl88"/>
    <w:basedOn w:val="1"/>
    <w:qFormat/>
    <w:uiPriority w:val="0"/>
    <w:pPr>
      <w:widowControl/>
      <w:pBdr>
        <w:top w:val="single" w:color="auto" w:sz="8" w:space="0"/>
        <w:bottom w:val="single" w:color="auto" w:sz="12" w:space="0"/>
      </w:pBdr>
      <w:spacing w:before="100" w:beforeAutospacing="1" w:after="100" w:afterAutospacing="1"/>
      <w:jc w:val="center"/>
    </w:pPr>
    <w:rPr>
      <w:rFonts w:ascii="宋体" w:hAnsi="宋体" w:cs="宋体"/>
      <w:color w:val="FF0000"/>
      <w:kern w:val="0"/>
      <w:szCs w:val="21"/>
    </w:rPr>
  </w:style>
  <w:style w:type="paragraph" w:customStyle="1" w:styleId="276">
    <w:name w:val="xl89"/>
    <w:basedOn w:val="1"/>
    <w:qFormat/>
    <w:uiPriority w:val="0"/>
    <w:pPr>
      <w:widowControl/>
      <w:pBdr>
        <w:top w:val="single" w:color="auto" w:sz="8" w:space="0"/>
        <w:bottom w:val="single" w:color="auto" w:sz="12" w:space="0"/>
        <w:right w:val="single" w:color="auto" w:sz="8" w:space="0"/>
      </w:pBdr>
      <w:spacing w:before="100" w:beforeAutospacing="1" w:after="100" w:afterAutospacing="1"/>
      <w:jc w:val="center"/>
    </w:pPr>
    <w:rPr>
      <w:rFonts w:ascii="宋体" w:hAnsi="宋体" w:cs="宋体"/>
      <w:color w:val="FF0000"/>
      <w:kern w:val="0"/>
      <w:szCs w:val="21"/>
    </w:rPr>
  </w:style>
  <w:style w:type="paragraph" w:customStyle="1" w:styleId="277">
    <w:name w:val="xl9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color w:val="0000FF"/>
      <w:kern w:val="0"/>
      <w:szCs w:val="21"/>
    </w:rPr>
  </w:style>
  <w:style w:type="paragraph" w:customStyle="1" w:styleId="278">
    <w:name w:val="xl91"/>
    <w:basedOn w:val="1"/>
    <w:qFormat/>
    <w:uiPriority w:val="0"/>
    <w:pPr>
      <w:widowControl/>
      <w:pBdr>
        <w:left w:val="single" w:color="auto" w:sz="8" w:space="0"/>
        <w:right w:val="single" w:color="auto" w:sz="8" w:space="0"/>
      </w:pBdr>
      <w:spacing w:before="100" w:beforeAutospacing="1" w:after="100" w:afterAutospacing="1"/>
      <w:jc w:val="center"/>
    </w:pPr>
    <w:rPr>
      <w:color w:val="0000FF"/>
      <w:kern w:val="0"/>
      <w:szCs w:val="21"/>
    </w:rPr>
  </w:style>
  <w:style w:type="paragraph" w:customStyle="1" w:styleId="279">
    <w:name w:val="xl9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color w:val="0000FF"/>
      <w:kern w:val="0"/>
      <w:szCs w:val="21"/>
    </w:rPr>
  </w:style>
  <w:style w:type="paragraph" w:customStyle="1" w:styleId="280">
    <w:name w:val="xl93"/>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FF"/>
      <w:kern w:val="0"/>
      <w:szCs w:val="21"/>
    </w:rPr>
  </w:style>
  <w:style w:type="paragraph" w:customStyle="1" w:styleId="281">
    <w:name w:val="xl94"/>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color w:val="0000FF"/>
      <w:kern w:val="0"/>
      <w:szCs w:val="21"/>
    </w:rPr>
  </w:style>
  <w:style w:type="paragraph" w:customStyle="1" w:styleId="282">
    <w:name w:val="xl9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FF"/>
      <w:kern w:val="0"/>
      <w:szCs w:val="21"/>
    </w:rPr>
  </w:style>
  <w:style w:type="paragraph" w:customStyle="1" w:styleId="283">
    <w:name w:val="xl9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color w:val="FF0000"/>
      <w:kern w:val="0"/>
      <w:szCs w:val="21"/>
    </w:rPr>
  </w:style>
  <w:style w:type="paragraph" w:customStyle="1" w:styleId="284">
    <w:name w:val="xl97"/>
    <w:basedOn w:val="1"/>
    <w:qFormat/>
    <w:uiPriority w:val="0"/>
    <w:pPr>
      <w:widowControl/>
      <w:pBdr>
        <w:left w:val="single" w:color="auto" w:sz="8" w:space="0"/>
        <w:right w:val="single" w:color="auto" w:sz="8" w:space="0"/>
      </w:pBdr>
      <w:spacing w:before="100" w:beforeAutospacing="1" w:after="100" w:afterAutospacing="1"/>
      <w:jc w:val="center"/>
    </w:pPr>
    <w:rPr>
      <w:color w:val="FF0000"/>
      <w:kern w:val="0"/>
      <w:szCs w:val="21"/>
    </w:rPr>
  </w:style>
  <w:style w:type="paragraph" w:customStyle="1" w:styleId="285">
    <w:name w:val="xl9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FF0000"/>
      <w:kern w:val="0"/>
      <w:szCs w:val="21"/>
    </w:rPr>
  </w:style>
  <w:style w:type="paragraph" w:customStyle="1" w:styleId="286">
    <w:name w:val="xl99"/>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color w:val="FF0000"/>
      <w:kern w:val="0"/>
      <w:szCs w:val="21"/>
    </w:rPr>
  </w:style>
  <w:style w:type="paragraph" w:customStyle="1" w:styleId="287">
    <w:name w:val="xl10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FF0000"/>
      <w:kern w:val="0"/>
      <w:szCs w:val="21"/>
    </w:rPr>
  </w:style>
  <w:style w:type="paragraph" w:customStyle="1" w:styleId="288">
    <w:name w:val="xl10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color w:val="0000FF"/>
      <w:kern w:val="0"/>
      <w:szCs w:val="21"/>
    </w:rPr>
  </w:style>
  <w:style w:type="paragraph" w:customStyle="1" w:styleId="289">
    <w:name w:val="xl102"/>
    <w:basedOn w:val="1"/>
    <w:qFormat/>
    <w:uiPriority w:val="0"/>
    <w:pPr>
      <w:widowControl/>
      <w:pBdr>
        <w:left w:val="single" w:color="auto" w:sz="8" w:space="0"/>
        <w:right w:val="single" w:color="auto" w:sz="8" w:space="0"/>
      </w:pBdr>
      <w:spacing w:before="100" w:beforeAutospacing="1" w:after="100" w:afterAutospacing="1"/>
      <w:jc w:val="center"/>
    </w:pPr>
    <w:rPr>
      <w:color w:val="0000FF"/>
      <w:kern w:val="0"/>
      <w:szCs w:val="21"/>
    </w:rPr>
  </w:style>
  <w:style w:type="paragraph" w:customStyle="1" w:styleId="290">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color w:val="0000FF"/>
      <w:kern w:val="0"/>
      <w:szCs w:val="21"/>
    </w:rPr>
  </w:style>
  <w:style w:type="paragraph" w:customStyle="1" w:styleId="291">
    <w:name w:val="xl104"/>
    <w:basedOn w:val="1"/>
    <w:qFormat/>
    <w:uiPriority w:val="0"/>
    <w:pPr>
      <w:widowControl/>
      <w:pBdr>
        <w:top w:val="single" w:color="auto" w:sz="8" w:space="0"/>
        <w:left w:val="single" w:color="auto" w:sz="12" w:space="0"/>
      </w:pBdr>
      <w:spacing w:before="100" w:beforeAutospacing="1" w:after="100" w:afterAutospacing="1"/>
      <w:jc w:val="center"/>
    </w:pPr>
    <w:rPr>
      <w:rFonts w:ascii="宋体" w:hAnsi="宋体" w:cs="宋体"/>
      <w:color w:val="FF0000"/>
      <w:kern w:val="0"/>
      <w:szCs w:val="21"/>
    </w:rPr>
  </w:style>
  <w:style w:type="paragraph" w:customStyle="1" w:styleId="292">
    <w:name w:val="xl105"/>
    <w:basedOn w:val="1"/>
    <w:qFormat/>
    <w:uiPriority w:val="0"/>
    <w:pPr>
      <w:widowControl/>
      <w:pBdr>
        <w:top w:val="single" w:color="auto" w:sz="8" w:space="0"/>
        <w:right w:val="single" w:color="auto" w:sz="8" w:space="0"/>
      </w:pBdr>
      <w:spacing w:before="100" w:beforeAutospacing="1" w:after="100" w:afterAutospacing="1"/>
      <w:jc w:val="center"/>
    </w:pPr>
    <w:rPr>
      <w:rFonts w:ascii="宋体" w:hAnsi="宋体" w:cs="宋体"/>
      <w:color w:val="FF0000"/>
      <w:kern w:val="0"/>
      <w:szCs w:val="21"/>
    </w:rPr>
  </w:style>
  <w:style w:type="paragraph" w:customStyle="1" w:styleId="293">
    <w:name w:val="xl106"/>
    <w:basedOn w:val="1"/>
    <w:qFormat/>
    <w:uiPriority w:val="0"/>
    <w:pPr>
      <w:widowControl/>
      <w:pBdr>
        <w:left w:val="single" w:color="auto" w:sz="12" w:space="0"/>
      </w:pBdr>
      <w:spacing w:before="100" w:beforeAutospacing="1" w:after="100" w:afterAutospacing="1"/>
      <w:jc w:val="center"/>
    </w:pPr>
    <w:rPr>
      <w:rFonts w:ascii="宋体" w:hAnsi="宋体" w:cs="宋体"/>
      <w:color w:val="FF0000"/>
      <w:kern w:val="0"/>
      <w:szCs w:val="21"/>
    </w:rPr>
  </w:style>
  <w:style w:type="paragraph" w:customStyle="1" w:styleId="294">
    <w:name w:val="xl107"/>
    <w:basedOn w:val="1"/>
    <w:qFormat/>
    <w:uiPriority w:val="0"/>
    <w:pPr>
      <w:widowControl/>
      <w:pBdr>
        <w:right w:val="single" w:color="auto" w:sz="8" w:space="0"/>
      </w:pBdr>
      <w:spacing w:before="100" w:beforeAutospacing="1" w:after="100" w:afterAutospacing="1"/>
      <w:jc w:val="center"/>
    </w:pPr>
    <w:rPr>
      <w:rFonts w:ascii="宋体" w:hAnsi="宋体" w:cs="宋体"/>
      <w:color w:val="FF0000"/>
      <w:kern w:val="0"/>
      <w:szCs w:val="21"/>
    </w:rPr>
  </w:style>
  <w:style w:type="paragraph" w:customStyle="1" w:styleId="295">
    <w:name w:val="xl108"/>
    <w:basedOn w:val="1"/>
    <w:qFormat/>
    <w:uiPriority w:val="0"/>
    <w:pPr>
      <w:widowControl/>
      <w:pBdr>
        <w:left w:val="single" w:color="auto" w:sz="12" w:space="0"/>
        <w:bottom w:val="single" w:color="auto" w:sz="8" w:space="0"/>
      </w:pBdr>
      <w:spacing w:before="100" w:beforeAutospacing="1" w:after="100" w:afterAutospacing="1"/>
      <w:jc w:val="center"/>
    </w:pPr>
    <w:rPr>
      <w:rFonts w:ascii="宋体" w:hAnsi="宋体" w:cs="宋体"/>
      <w:color w:val="FF0000"/>
      <w:kern w:val="0"/>
      <w:szCs w:val="21"/>
    </w:rPr>
  </w:style>
  <w:style w:type="paragraph" w:customStyle="1" w:styleId="296">
    <w:name w:val="xl109"/>
    <w:basedOn w:val="1"/>
    <w:qFormat/>
    <w:uiPriority w:val="0"/>
    <w:pPr>
      <w:widowControl/>
      <w:pBdr>
        <w:top w:val="single" w:color="auto" w:sz="8" w:space="0"/>
        <w:left w:val="single" w:color="auto" w:sz="8" w:space="0"/>
      </w:pBdr>
      <w:spacing w:before="100" w:beforeAutospacing="1" w:after="100" w:afterAutospacing="1"/>
      <w:jc w:val="center"/>
    </w:pPr>
    <w:rPr>
      <w:rFonts w:ascii="宋体" w:hAnsi="宋体" w:cs="宋体"/>
      <w:color w:val="FF0000"/>
      <w:kern w:val="0"/>
      <w:szCs w:val="21"/>
    </w:rPr>
  </w:style>
  <w:style w:type="paragraph" w:customStyle="1" w:styleId="297">
    <w:name w:val="xl110"/>
    <w:basedOn w:val="1"/>
    <w:qFormat/>
    <w:uiPriority w:val="0"/>
    <w:pPr>
      <w:widowControl/>
      <w:pBdr>
        <w:top w:val="single" w:color="auto" w:sz="8" w:space="0"/>
      </w:pBdr>
      <w:spacing w:before="100" w:beforeAutospacing="1" w:after="100" w:afterAutospacing="1"/>
      <w:jc w:val="center"/>
    </w:pPr>
    <w:rPr>
      <w:rFonts w:ascii="宋体" w:hAnsi="宋体" w:cs="宋体"/>
      <w:color w:val="FF0000"/>
      <w:kern w:val="0"/>
      <w:szCs w:val="21"/>
    </w:rPr>
  </w:style>
  <w:style w:type="paragraph" w:customStyle="1" w:styleId="298">
    <w:name w:val="xl111"/>
    <w:basedOn w:val="1"/>
    <w:qFormat/>
    <w:uiPriority w:val="0"/>
    <w:pPr>
      <w:widowControl/>
      <w:pBdr>
        <w:left w:val="single" w:color="auto" w:sz="8" w:space="0"/>
      </w:pBdr>
      <w:spacing w:before="100" w:beforeAutospacing="1" w:after="100" w:afterAutospacing="1"/>
      <w:jc w:val="center"/>
    </w:pPr>
    <w:rPr>
      <w:rFonts w:ascii="宋体" w:hAnsi="宋体" w:cs="宋体"/>
      <w:color w:val="FF0000"/>
      <w:kern w:val="0"/>
      <w:szCs w:val="21"/>
    </w:rPr>
  </w:style>
  <w:style w:type="paragraph" w:customStyle="1" w:styleId="299">
    <w:name w:val="xl112"/>
    <w:basedOn w:val="1"/>
    <w:qFormat/>
    <w:uiPriority w:val="0"/>
    <w:pPr>
      <w:widowControl/>
      <w:spacing w:before="100" w:beforeAutospacing="1" w:after="100" w:afterAutospacing="1"/>
      <w:jc w:val="center"/>
    </w:pPr>
    <w:rPr>
      <w:rFonts w:ascii="宋体" w:hAnsi="宋体" w:cs="宋体"/>
      <w:color w:val="FF0000"/>
      <w:kern w:val="0"/>
      <w:szCs w:val="21"/>
    </w:rPr>
  </w:style>
  <w:style w:type="paragraph" w:customStyle="1" w:styleId="300">
    <w:name w:val="xl113"/>
    <w:basedOn w:val="1"/>
    <w:qFormat/>
    <w:uiPriority w:val="0"/>
    <w:pPr>
      <w:widowControl/>
      <w:pBdr>
        <w:left w:val="single" w:color="auto" w:sz="8" w:space="0"/>
        <w:bottom w:val="single" w:color="auto" w:sz="8" w:space="0"/>
      </w:pBdr>
      <w:spacing w:before="100" w:beforeAutospacing="1" w:after="100" w:afterAutospacing="1"/>
      <w:jc w:val="center"/>
    </w:pPr>
    <w:rPr>
      <w:rFonts w:ascii="宋体" w:hAnsi="宋体" w:cs="宋体"/>
      <w:color w:val="FF0000"/>
      <w:kern w:val="0"/>
      <w:szCs w:val="21"/>
    </w:rPr>
  </w:style>
  <w:style w:type="paragraph" w:customStyle="1" w:styleId="301">
    <w:name w:val="xl114"/>
    <w:basedOn w:val="1"/>
    <w:qFormat/>
    <w:uiPriority w:val="0"/>
    <w:pPr>
      <w:widowControl/>
      <w:pBdr>
        <w:bottom w:val="single" w:color="auto" w:sz="8" w:space="0"/>
      </w:pBdr>
      <w:spacing w:before="100" w:beforeAutospacing="1" w:after="100" w:afterAutospacing="1"/>
      <w:jc w:val="center"/>
    </w:pPr>
    <w:rPr>
      <w:rFonts w:ascii="宋体" w:hAnsi="宋体" w:cs="宋体"/>
      <w:color w:val="FF0000"/>
      <w:kern w:val="0"/>
      <w:szCs w:val="21"/>
    </w:rPr>
  </w:style>
  <w:style w:type="paragraph" w:customStyle="1" w:styleId="302">
    <w:name w:val="xl11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color w:val="FF0000"/>
      <w:kern w:val="0"/>
      <w:szCs w:val="21"/>
    </w:rPr>
  </w:style>
  <w:style w:type="paragraph" w:customStyle="1" w:styleId="303">
    <w:name w:val="xl116"/>
    <w:basedOn w:val="1"/>
    <w:qFormat/>
    <w:uiPriority w:val="0"/>
    <w:pPr>
      <w:widowControl/>
      <w:pBdr>
        <w:left w:val="single" w:color="auto" w:sz="8" w:space="0"/>
        <w:right w:val="single" w:color="auto" w:sz="8" w:space="0"/>
      </w:pBdr>
      <w:spacing w:before="100" w:beforeAutospacing="1" w:after="100" w:afterAutospacing="1"/>
      <w:jc w:val="center"/>
    </w:pPr>
    <w:rPr>
      <w:color w:val="FF0000"/>
      <w:kern w:val="0"/>
      <w:szCs w:val="21"/>
    </w:rPr>
  </w:style>
  <w:style w:type="paragraph" w:customStyle="1" w:styleId="304">
    <w:name w:val="xl117"/>
    <w:basedOn w:val="1"/>
    <w:qFormat/>
    <w:uiPriority w:val="0"/>
    <w:pPr>
      <w:widowControl/>
      <w:pBdr>
        <w:left w:val="single" w:color="auto" w:sz="8" w:space="0"/>
        <w:bottom w:val="single" w:color="auto" w:sz="8" w:space="0"/>
      </w:pBdr>
      <w:spacing w:before="100" w:beforeAutospacing="1" w:after="100" w:afterAutospacing="1"/>
      <w:jc w:val="left"/>
    </w:pPr>
    <w:rPr>
      <w:rFonts w:ascii="宋体" w:hAnsi="宋体" w:cs="宋体"/>
      <w:kern w:val="0"/>
      <w:sz w:val="24"/>
    </w:rPr>
  </w:style>
  <w:style w:type="paragraph" w:customStyle="1" w:styleId="305">
    <w:name w:val="xl118"/>
    <w:basedOn w:val="1"/>
    <w:qFormat/>
    <w:uiPriority w:val="0"/>
    <w:pPr>
      <w:widowControl/>
      <w:pBdr>
        <w:bottom w:val="single" w:color="auto" w:sz="8" w:space="0"/>
      </w:pBdr>
      <w:spacing w:before="100" w:beforeAutospacing="1" w:after="100" w:afterAutospacing="1"/>
      <w:jc w:val="left"/>
    </w:pPr>
    <w:rPr>
      <w:rFonts w:ascii="宋体" w:hAnsi="宋体" w:cs="宋体"/>
      <w:kern w:val="0"/>
      <w:sz w:val="24"/>
    </w:rPr>
  </w:style>
  <w:style w:type="paragraph" w:customStyle="1" w:styleId="306">
    <w:name w:val="xl119"/>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307">
    <w:name w:val="xl120"/>
    <w:basedOn w:val="1"/>
    <w:qFormat/>
    <w:uiPriority w:val="0"/>
    <w:pPr>
      <w:widowControl/>
      <w:pBdr>
        <w:top w:val="single" w:color="auto" w:sz="8" w:space="0"/>
        <w:left w:val="single" w:color="auto" w:sz="12" w:space="0"/>
      </w:pBdr>
      <w:spacing w:before="100" w:beforeAutospacing="1" w:after="100" w:afterAutospacing="1"/>
      <w:jc w:val="center"/>
    </w:pPr>
    <w:rPr>
      <w:rFonts w:ascii="宋体" w:hAnsi="宋体" w:cs="宋体"/>
      <w:color w:val="0000FF"/>
      <w:kern w:val="0"/>
      <w:szCs w:val="21"/>
    </w:rPr>
  </w:style>
  <w:style w:type="paragraph" w:customStyle="1" w:styleId="308">
    <w:name w:val="xl121"/>
    <w:basedOn w:val="1"/>
    <w:qFormat/>
    <w:uiPriority w:val="0"/>
    <w:pPr>
      <w:widowControl/>
      <w:pBdr>
        <w:top w:val="single" w:color="auto" w:sz="8" w:space="0"/>
      </w:pBdr>
      <w:spacing w:before="100" w:beforeAutospacing="1" w:after="100" w:afterAutospacing="1"/>
      <w:jc w:val="center"/>
    </w:pPr>
    <w:rPr>
      <w:rFonts w:ascii="宋体" w:hAnsi="宋体" w:cs="宋体"/>
      <w:color w:val="0000FF"/>
      <w:kern w:val="0"/>
      <w:szCs w:val="21"/>
    </w:rPr>
  </w:style>
  <w:style w:type="paragraph" w:customStyle="1" w:styleId="309">
    <w:name w:val="xl122"/>
    <w:basedOn w:val="1"/>
    <w:qFormat/>
    <w:uiPriority w:val="0"/>
    <w:pPr>
      <w:widowControl/>
      <w:pBdr>
        <w:top w:val="single" w:color="auto" w:sz="8" w:space="0"/>
        <w:right w:val="single" w:color="auto" w:sz="8" w:space="0"/>
      </w:pBdr>
      <w:spacing w:before="100" w:beforeAutospacing="1" w:after="100" w:afterAutospacing="1"/>
      <w:jc w:val="center"/>
    </w:pPr>
    <w:rPr>
      <w:rFonts w:ascii="宋体" w:hAnsi="宋体" w:cs="宋体"/>
      <w:color w:val="0000FF"/>
      <w:kern w:val="0"/>
      <w:szCs w:val="21"/>
    </w:rPr>
  </w:style>
  <w:style w:type="paragraph" w:customStyle="1" w:styleId="310">
    <w:name w:val="xl123"/>
    <w:basedOn w:val="1"/>
    <w:qFormat/>
    <w:uiPriority w:val="0"/>
    <w:pPr>
      <w:widowControl/>
      <w:pBdr>
        <w:left w:val="single" w:color="auto" w:sz="12" w:space="0"/>
        <w:bottom w:val="single" w:color="auto" w:sz="8" w:space="0"/>
      </w:pBdr>
      <w:spacing w:before="100" w:beforeAutospacing="1" w:after="100" w:afterAutospacing="1"/>
      <w:jc w:val="center"/>
    </w:pPr>
    <w:rPr>
      <w:rFonts w:ascii="宋体" w:hAnsi="宋体" w:cs="宋体"/>
      <w:color w:val="0000FF"/>
      <w:kern w:val="0"/>
      <w:szCs w:val="21"/>
    </w:rPr>
  </w:style>
  <w:style w:type="paragraph" w:customStyle="1" w:styleId="311">
    <w:name w:val="xl124"/>
    <w:basedOn w:val="1"/>
    <w:qFormat/>
    <w:uiPriority w:val="0"/>
    <w:pPr>
      <w:widowControl/>
      <w:pBdr>
        <w:bottom w:val="single" w:color="auto" w:sz="8" w:space="0"/>
      </w:pBdr>
      <w:spacing w:before="100" w:beforeAutospacing="1" w:after="100" w:afterAutospacing="1"/>
      <w:jc w:val="center"/>
    </w:pPr>
    <w:rPr>
      <w:rFonts w:ascii="宋体" w:hAnsi="宋体" w:cs="宋体"/>
      <w:color w:val="0000FF"/>
      <w:kern w:val="0"/>
      <w:szCs w:val="21"/>
    </w:rPr>
  </w:style>
  <w:style w:type="paragraph" w:customStyle="1" w:styleId="312">
    <w:name w:val="xl125"/>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color w:val="0000FF"/>
      <w:kern w:val="0"/>
      <w:szCs w:val="21"/>
    </w:rPr>
  </w:style>
  <w:style w:type="paragraph" w:customStyle="1" w:styleId="313">
    <w:name w:val="xl12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FF"/>
      <w:kern w:val="0"/>
      <w:szCs w:val="21"/>
    </w:rPr>
  </w:style>
  <w:style w:type="paragraph" w:customStyle="1" w:styleId="314">
    <w:name w:val="xl127"/>
    <w:basedOn w:val="1"/>
    <w:qFormat/>
    <w:uiPriority w:val="0"/>
    <w:pPr>
      <w:widowControl/>
      <w:pBdr>
        <w:top w:val="single" w:color="auto" w:sz="8" w:space="0"/>
        <w:left w:val="single" w:color="auto" w:sz="12" w:space="0"/>
        <w:bottom w:val="single" w:color="auto" w:sz="8" w:space="0"/>
      </w:pBdr>
      <w:spacing w:before="100" w:beforeAutospacing="1" w:after="100" w:afterAutospacing="1"/>
      <w:jc w:val="center"/>
    </w:pPr>
    <w:rPr>
      <w:rFonts w:ascii="宋体" w:hAnsi="宋体" w:cs="宋体"/>
      <w:color w:val="0000FF"/>
      <w:kern w:val="0"/>
      <w:szCs w:val="21"/>
    </w:rPr>
  </w:style>
  <w:style w:type="paragraph" w:customStyle="1" w:styleId="315">
    <w:name w:val="xl128"/>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color w:val="0000FF"/>
      <w:kern w:val="0"/>
      <w:szCs w:val="21"/>
    </w:rPr>
  </w:style>
  <w:style w:type="paragraph" w:customStyle="1" w:styleId="316">
    <w:name w:val="xl129"/>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FF"/>
      <w:kern w:val="0"/>
      <w:szCs w:val="21"/>
    </w:rPr>
  </w:style>
  <w:style w:type="paragraph" w:customStyle="1" w:styleId="317">
    <w:name w:val="xl130"/>
    <w:basedOn w:val="1"/>
    <w:qFormat/>
    <w:uiPriority w:val="0"/>
    <w:pPr>
      <w:widowControl/>
      <w:pBdr>
        <w:top w:val="single" w:color="auto" w:sz="8" w:space="0"/>
        <w:left w:val="single" w:color="auto" w:sz="8" w:space="0"/>
      </w:pBdr>
      <w:spacing w:before="100" w:beforeAutospacing="1" w:after="100" w:afterAutospacing="1"/>
      <w:jc w:val="center"/>
    </w:pPr>
    <w:rPr>
      <w:rFonts w:ascii="宋体" w:hAnsi="宋体" w:cs="宋体"/>
      <w:color w:val="0000FF"/>
      <w:kern w:val="0"/>
      <w:szCs w:val="21"/>
    </w:rPr>
  </w:style>
  <w:style w:type="paragraph" w:customStyle="1" w:styleId="318">
    <w:name w:val="xl131"/>
    <w:basedOn w:val="1"/>
    <w:qFormat/>
    <w:uiPriority w:val="0"/>
    <w:pPr>
      <w:widowControl/>
      <w:pBdr>
        <w:left w:val="single" w:color="auto" w:sz="8" w:space="0"/>
      </w:pBdr>
      <w:spacing w:before="100" w:beforeAutospacing="1" w:after="100" w:afterAutospacing="1"/>
      <w:jc w:val="center"/>
    </w:pPr>
    <w:rPr>
      <w:rFonts w:ascii="宋体" w:hAnsi="宋体" w:cs="宋体"/>
      <w:color w:val="0000FF"/>
      <w:kern w:val="0"/>
      <w:szCs w:val="21"/>
    </w:rPr>
  </w:style>
  <w:style w:type="paragraph" w:customStyle="1" w:styleId="319">
    <w:name w:val="xl132"/>
    <w:basedOn w:val="1"/>
    <w:qFormat/>
    <w:uiPriority w:val="0"/>
    <w:pPr>
      <w:widowControl/>
      <w:pBdr>
        <w:left w:val="single" w:color="auto" w:sz="8" w:space="0"/>
        <w:bottom w:val="single" w:color="auto" w:sz="8" w:space="0"/>
      </w:pBdr>
      <w:spacing w:before="100" w:beforeAutospacing="1" w:after="100" w:afterAutospacing="1"/>
      <w:jc w:val="center"/>
    </w:pPr>
    <w:rPr>
      <w:rFonts w:ascii="宋体" w:hAnsi="宋体" w:cs="宋体"/>
      <w:color w:val="0000FF"/>
      <w:kern w:val="0"/>
      <w:szCs w:val="21"/>
    </w:rPr>
  </w:style>
  <w:style w:type="paragraph" w:customStyle="1" w:styleId="320">
    <w:name w:val="xl133"/>
    <w:basedOn w:val="1"/>
    <w:qFormat/>
    <w:uiPriority w:val="0"/>
    <w:pPr>
      <w:widowControl/>
      <w:pBdr>
        <w:top w:val="single" w:color="auto" w:sz="12" w:space="0"/>
        <w:left w:val="single" w:color="auto" w:sz="8" w:space="0"/>
        <w:bottom w:val="single" w:color="auto" w:sz="8" w:space="0"/>
      </w:pBdr>
      <w:spacing w:before="100" w:beforeAutospacing="1" w:after="100" w:afterAutospacing="1"/>
      <w:jc w:val="center"/>
    </w:pPr>
    <w:rPr>
      <w:rFonts w:ascii="宋体" w:hAnsi="宋体" w:cs="宋体"/>
      <w:color w:val="FF0000"/>
      <w:kern w:val="0"/>
      <w:szCs w:val="21"/>
    </w:rPr>
  </w:style>
  <w:style w:type="paragraph" w:customStyle="1" w:styleId="321">
    <w:name w:val="xl134"/>
    <w:basedOn w:val="1"/>
    <w:qFormat/>
    <w:uiPriority w:val="0"/>
    <w:pPr>
      <w:widowControl/>
      <w:pBdr>
        <w:top w:val="single" w:color="auto" w:sz="12" w:space="0"/>
        <w:bottom w:val="single" w:color="auto" w:sz="8" w:space="0"/>
        <w:right w:val="single" w:color="auto" w:sz="8" w:space="0"/>
      </w:pBdr>
      <w:spacing w:before="100" w:beforeAutospacing="1" w:after="100" w:afterAutospacing="1"/>
      <w:jc w:val="center"/>
    </w:pPr>
    <w:rPr>
      <w:rFonts w:ascii="宋体" w:hAnsi="宋体" w:cs="宋体"/>
      <w:color w:val="FF0000"/>
      <w:kern w:val="0"/>
      <w:szCs w:val="21"/>
    </w:rPr>
  </w:style>
  <w:style w:type="paragraph" w:customStyle="1" w:styleId="322">
    <w:name w:val="xl135"/>
    <w:basedOn w:val="1"/>
    <w:qFormat/>
    <w:uiPriority w:val="0"/>
    <w:pPr>
      <w:widowControl/>
      <w:pBdr>
        <w:top w:val="single" w:color="auto" w:sz="12" w:space="0"/>
        <w:bottom w:val="single" w:color="auto" w:sz="8" w:space="0"/>
      </w:pBdr>
      <w:spacing w:before="100" w:beforeAutospacing="1" w:after="100" w:afterAutospacing="1"/>
      <w:jc w:val="center"/>
    </w:pPr>
    <w:rPr>
      <w:rFonts w:ascii="宋体" w:hAnsi="宋体" w:cs="宋体"/>
      <w:color w:val="FF0000"/>
      <w:kern w:val="0"/>
      <w:szCs w:val="21"/>
    </w:rPr>
  </w:style>
  <w:style w:type="paragraph" w:customStyle="1" w:styleId="323">
    <w:name w:val="xl136"/>
    <w:basedOn w:val="1"/>
    <w:qFormat/>
    <w:uiPriority w:val="0"/>
    <w:pPr>
      <w:widowControl/>
      <w:pBdr>
        <w:top w:val="single" w:color="auto" w:sz="12" w:space="0"/>
        <w:bottom w:val="single" w:color="auto" w:sz="8" w:space="0"/>
        <w:right w:val="single" w:color="auto" w:sz="12" w:space="0"/>
      </w:pBdr>
      <w:spacing w:before="100" w:beforeAutospacing="1" w:after="100" w:afterAutospacing="1"/>
      <w:jc w:val="center"/>
    </w:pPr>
    <w:rPr>
      <w:rFonts w:ascii="宋体" w:hAnsi="宋体" w:cs="宋体"/>
      <w:color w:val="FF0000"/>
      <w:kern w:val="0"/>
      <w:szCs w:val="21"/>
    </w:rPr>
  </w:style>
  <w:style w:type="paragraph" w:customStyle="1" w:styleId="324">
    <w:name w:val="xl137"/>
    <w:basedOn w:val="1"/>
    <w:qFormat/>
    <w:uiPriority w:val="0"/>
    <w:pPr>
      <w:widowControl/>
      <w:pBdr>
        <w:top w:val="single" w:color="auto" w:sz="12" w:space="0"/>
        <w:left w:val="single" w:color="auto" w:sz="12" w:space="0"/>
      </w:pBdr>
      <w:spacing w:before="100" w:beforeAutospacing="1" w:after="100" w:afterAutospacing="1"/>
      <w:jc w:val="center"/>
    </w:pPr>
    <w:rPr>
      <w:rFonts w:ascii="宋体" w:hAnsi="宋体" w:cs="宋体"/>
      <w:color w:val="FF0000"/>
      <w:kern w:val="0"/>
      <w:szCs w:val="21"/>
    </w:rPr>
  </w:style>
  <w:style w:type="paragraph" w:customStyle="1" w:styleId="325">
    <w:name w:val="xl138"/>
    <w:basedOn w:val="1"/>
    <w:qFormat/>
    <w:uiPriority w:val="0"/>
    <w:pPr>
      <w:widowControl/>
      <w:pBdr>
        <w:top w:val="single" w:color="auto" w:sz="12" w:space="0"/>
      </w:pBdr>
      <w:spacing w:before="100" w:beforeAutospacing="1" w:after="100" w:afterAutospacing="1"/>
      <w:jc w:val="center"/>
    </w:pPr>
    <w:rPr>
      <w:rFonts w:ascii="宋体" w:hAnsi="宋体" w:cs="宋体"/>
      <w:color w:val="FF0000"/>
      <w:kern w:val="0"/>
      <w:szCs w:val="21"/>
    </w:rPr>
  </w:style>
  <w:style w:type="paragraph" w:customStyle="1" w:styleId="326">
    <w:name w:val="xl139"/>
    <w:basedOn w:val="1"/>
    <w:qFormat/>
    <w:uiPriority w:val="0"/>
    <w:pPr>
      <w:widowControl/>
      <w:pBdr>
        <w:top w:val="single" w:color="auto" w:sz="12" w:space="0"/>
        <w:right w:val="single" w:color="auto" w:sz="8" w:space="0"/>
      </w:pBdr>
      <w:spacing w:before="100" w:beforeAutospacing="1" w:after="100" w:afterAutospacing="1"/>
      <w:jc w:val="center"/>
    </w:pPr>
    <w:rPr>
      <w:rFonts w:ascii="宋体" w:hAnsi="宋体" w:cs="宋体"/>
      <w:color w:val="FF0000"/>
      <w:kern w:val="0"/>
      <w:szCs w:val="21"/>
    </w:rPr>
  </w:style>
  <w:style w:type="paragraph" w:customStyle="1" w:styleId="327">
    <w:name w:val="xl140"/>
    <w:basedOn w:val="1"/>
    <w:qFormat/>
    <w:uiPriority w:val="0"/>
    <w:pPr>
      <w:widowControl/>
      <w:pBdr>
        <w:top w:val="single" w:color="auto" w:sz="12" w:space="0"/>
        <w:left w:val="single" w:color="auto" w:sz="8" w:space="0"/>
        <w:right w:val="single" w:color="auto" w:sz="8" w:space="0"/>
      </w:pBdr>
      <w:spacing w:before="100" w:beforeAutospacing="1" w:after="100" w:afterAutospacing="1"/>
      <w:jc w:val="center"/>
    </w:pPr>
    <w:rPr>
      <w:rFonts w:ascii="宋体" w:hAnsi="宋体" w:cs="宋体"/>
      <w:color w:val="FF0000"/>
      <w:kern w:val="0"/>
      <w:szCs w:val="21"/>
    </w:rPr>
  </w:style>
  <w:style w:type="paragraph" w:customStyle="1" w:styleId="328">
    <w:name w:val="xl141"/>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FF0000"/>
      <w:kern w:val="0"/>
      <w:szCs w:val="21"/>
    </w:rPr>
  </w:style>
  <w:style w:type="paragraph" w:customStyle="1" w:styleId="329">
    <w:name w:val="xl142"/>
    <w:basedOn w:val="1"/>
    <w:qFormat/>
    <w:uiPriority w:val="0"/>
    <w:pPr>
      <w:widowControl/>
      <w:pBdr>
        <w:top w:val="single" w:color="auto" w:sz="8" w:space="0"/>
        <w:left w:val="single" w:color="auto" w:sz="12" w:space="0"/>
      </w:pBdr>
      <w:spacing w:before="100" w:beforeAutospacing="1" w:after="100" w:afterAutospacing="1"/>
      <w:jc w:val="center"/>
    </w:pPr>
    <w:rPr>
      <w:rFonts w:ascii="宋体" w:hAnsi="宋体" w:cs="宋体"/>
      <w:color w:val="0000FF"/>
      <w:kern w:val="0"/>
      <w:szCs w:val="21"/>
    </w:rPr>
  </w:style>
  <w:style w:type="paragraph" w:customStyle="1" w:styleId="330">
    <w:name w:val="xl143"/>
    <w:basedOn w:val="1"/>
    <w:qFormat/>
    <w:uiPriority w:val="0"/>
    <w:pPr>
      <w:widowControl/>
      <w:pBdr>
        <w:top w:val="single" w:color="auto" w:sz="8" w:space="0"/>
      </w:pBdr>
      <w:spacing w:before="100" w:beforeAutospacing="1" w:after="100" w:afterAutospacing="1"/>
      <w:jc w:val="center"/>
    </w:pPr>
    <w:rPr>
      <w:rFonts w:ascii="宋体" w:hAnsi="宋体" w:cs="宋体"/>
      <w:color w:val="0000FF"/>
      <w:kern w:val="0"/>
      <w:szCs w:val="21"/>
    </w:rPr>
  </w:style>
  <w:style w:type="paragraph" w:customStyle="1" w:styleId="331">
    <w:name w:val="xl144"/>
    <w:basedOn w:val="1"/>
    <w:qFormat/>
    <w:uiPriority w:val="0"/>
    <w:pPr>
      <w:widowControl/>
      <w:pBdr>
        <w:top w:val="single" w:color="auto" w:sz="8" w:space="0"/>
        <w:right w:val="single" w:color="auto" w:sz="8" w:space="0"/>
      </w:pBdr>
      <w:spacing w:before="100" w:beforeAutospacing="1" w:after="100" w:afterAutospacing="1"/>
      <w:jc w:val="center"/>
    </w:pPr>
    <w:rPr>
      <w:rFonts w:ascii="宋体" w:hAnsi="宋体" w:cs="宋体"/>
      <w:color w:val="0000FF"/>
      <w:kern w:val="0"/>
      <w:szCs w:val="21"/>
    </w:rPr>
  </w:style>
  <w:style w:type="paragraph" w:customStyle="1" w:styleId="332">
    <w:name w:val="xl145"/>
    <w:basedOn w:val="1"/>
    <w:qFormat/>
    <w:uiPriority w:val="0"/>
    <w:pPr>
      <w:widowControl/>
      <w:pBdr>
        <w:left w:val="single" w:color="auto" w:sz="12" w:space="0"/>
      </w:pBdr>
      <w:spacing w:before="100" w:beforeAutospacing="1" w:after="100" w:afterAutospacing="1"/>
      <w:jc w:val="center"/>
    </w:pPr>
    <w:rPr>
      <w:rFonts w:ascii="宋体" w:hAnsi="宋体" w:cs="宋体"/>
      <w:color w:val="0000FF"/>
      <w:kern w:val="0"/>
      <w:szCs w:val="21"/>
    </w:rPr>
  </w:style>
  <w:style w:type="paragraph" w:customStyle="1" w:styleId="333">
    <w:name w:val="xl146"/>
    <w:basedOn w:val="1"/>
    <w:qFormat/>
    <w:uiPriority w:val="0"/>
    <w:pPr>
      <w:widowControl/>
      <w:spacing w:before="100" w:beforeAutospacing="1" w:after="100" w:afterAutospacing="1"/>
      <w:jc w:val="center"/>
    </w:pPr>
    <w:rPr>
      <w:rFonts w:ascii="宋体" w:hAnsi="宋体" w:cs="宋体"/>
      <w:color w:val="0000FF"/>
      <w:kern w:val="0"/>
      <w:szCs w:val="21"/>
    </w:rPr>
  </w:style>
  <w:style w:type="paragraph" w:customStyle="1" w:styleId="334">
    <w:name w:val="xl147"/>
    <w:basedOn w:val="1"/>
    <w:qFormat/>
    <w:uiPriority w:val="0"/>
    <w:pPr>
      <w:widowControl/>
      <w:pBdr>
        <w:right w:val="single" w:color="auto" w:sz="8" w:space="0"/>
      </w:pBdr>
      <w:spacing w:before="100" w:beforeAutospacing="1" w:after="100" w:afterAutospacing="1"/>
      <w:jc w:val="center"/>
    </w:pPr>
    <w:rPr>
      <w:rFonts w:ascii="宋体" w:hAnsi="宋体" w:cs="宋体"/>
      <w:color w:val="0000FF"/>
      <w:kern w:val="0"/>
      <w:szCs w:val="21"/>
    </w:rPr>
  </w:style>
  <w:style w:type="paragraph" w:customStyle="1" w:styleId="335">
    <w:name w:val="xl148"/>
    <w:basedOn w:val="1"/>
    <w:qFormat/>
    <w:uiPriority w:val="0"/>
    <w:pPr>
      <w:widowControl/>
      <w:pBdr>
        <w:left w:val="single" w:color="auto" w:sz="12" w:space="0"/>
        <w:bottom w:val="single" w:color="auto" w:sz="8" w:space="0"/>
      </w:pBdr>
      <w:spacing w:before="100" w:beforeAutospacing="1" w:after="100" w:afterAutospacing="1"/>
      <w:jc w:val="center"/>
    </w:pPr>
    <w:rPr>
      <w:rFonts w:ascii="宋体" w:hAnsi="宋体" w:cs="宋体"/>
      <w:color w:val="0000FF"/>
      <w:kern w:val="0"/>
      <w:szCs w:val="21"/>
    </w:rPr>
  </w:style>
  <w:style w:type="paragraph" w:customStyle="1" w:styleId="336">
    <w:name w:val="xl149"/>
    <w:basedOn w:val="1"/>
    <w:qFormat/>
    <w:uiPriority w:val="0"/>
    <w:pPr>
      <w:widowControl/>
      <w:pBdr>
        <w:bottom w:val="single" w:color="auto" w:sz="8" w:space="0"/>
      </w:pBdr>
      <w:spacing w:before="100" w:beforeAutospacing="1" w:after="100" w:afterAutospacing="1"/>
      <w:jc w:val="center"/>
    </w:pPr>
    <w:rPr>
      <w:rFonts w:ascii="宋体" w:hAnsi="宋体" w:cs="宋体"/>
      <w:color w:val="0000FF"/>
      <w:kern w:val="0"/>
      <w:szCs w:val="21"/>
    </w:rPr>
  </w:style>
  <w:style w:type="paragraph" w:customStyle="1" w:styleId="337">
    <w:name w:val="xl15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0000FF"/>
      <w:kern w:val="0"/>
      <w:szCs w:val="21"/>
    </w:rPr>
  </w:style>
  <w:style w:type="paragraph" w:customStyle="1" w:styleId="338">
    <w:name w:val="xl151"/>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color w:val="0000FF"/>
      <w:kern w:val="0"/>
      <w:szCs w:val="21"/>
    </w:rPr>
  </w:style>
  <w:style w:type="paragraph" w:customStyle="1" w:styleId="339">
    <w:name w:val="xl15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color w:val="FF0000"/>
      <w:kern w:val="0"/>
      <w:szCs w:val="21"/>
    </w:rPr>
  </w:style>
  <w:style w:type="paragraph" w:customStyle="1" w:styleId="340">
    <w:name w:val="xl153"/>
    <w:basedOn w:val="1"/>
    <w:qFormat/>
    <w:uiPriority w:val="0"/>
    <w:pPr>
      <w:widowControl/>
      <w:pBdr>
        <w:top w:val="single" w:color="auto" w:sz="8" w:space="0"/>
        <w:left w:val="single" w:color="auto" w:sz="8" w:space="0"/>
        <w:bottom w:val="single" w:color="auto" w:sz="8" w:space="0"/>
        <w:right w:val="single" w:color="auto" w:sz="12" w:space="0"/>
      </w:pBdr>
      <w:spacing w:before="100" w:beforeAutospacing="1" w:after="100" w:afterAutospacing="1"/>
      <w:jc w:val="center"/>
    </w:pPr>
    <w:rPr>
      <w:color w:val="FF0000"/>
      <w:kern w:val="0"/>
      <w:szCs w:val="21"/>
    </w:rPr>
  </w:style>
  <w:style w:type="paragraph" w:customStyle="1" w:styleId="341">
    <w:name w:val="xl15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color w:val="FF0000"/>
      <w:kern w:val="0"/>
      <w:szCs w:val="21"/>
    </w:rPr>
  </w:style>
  <w:style w:type="paragraph" w:customStyle="1" w:styleId="342">
    <w:name w:val="xl155"/>
    <w:basedOn w:val="1"/>
    <w:qFormat/>
    <w:uiPriority w:val="0"/>
    <w:pPr>
      <w:widowControl/>
      <w:pBdr>
        <w:top w:val="single" w:color="auto" w:sz="8" w:space="0"/>
        <w:left w:val="single" w:color="auto" w:sz="12" w:space="0"/>
        <w:right w:val="single" w:color="auto" w:sz="8" w:space="0"/>
      </w:pBdr>
      <w:spacing w:before="100" w:beforeAutospacing="1" w:after="100" w:afterAutospacing="1"/>
      <w:jc w:val="center"/>
    </w:pPr>
    <w:rPr>
      <w:rFonts w:ascii="宋体" w:hAnsi="宋体" w:cs="宋体"/>
      <w:color w:val="1F497D"/>
      <w:kern w:val="0"/>
      <w:szCs w:val="21"/>
    </w:rPr>
  </w:style>
  <w:style w:type="paragraph" w:customStyle="1" w:styleId="343">
    <w:name w:val="xl156"/>
    <w:basedOn w:val="1"/>
    <w:qFormat/>
    <w:uiPriority w:val="0"/>
    <w:pPr>
      <w:widowControl/>
      <w:pBdr>
        <w:top w:val="single" w:color="auto" w:sz="8" w:space="0"/>
        <w:left w:val="single" w:color="auto" w:sz="8" w:space="0"/>
      </w:pBdr>
      <w:spacing w:before="100" w:beforeAutospacing="1" w:after="100" w:afterAutospacing="1"/>
      <w:jc w:val="center"/>
    </w:pPr>
    <w:rPr>
      <w:rFonts w:ascii="宋体" w:hAnsi="宋体" w:cs="宋体"/>
      <w:color w:val="1F497D"/>
      <w:kern w:val="0"/>
      <w:szCs w:val="21"/>
    </w:rPr>
  </w:style>
  <w:style w:type="paragraph" w:customStyle="1" w:styleId="344">
    <w:name w:val="xl157"/>
    <w:basedOn w:val="1"/>
    <w:qFormat/>
    <w:uiPriority w:val="0"/>
    <w:pPr>
      <w:widowControl/>
      <w:pBdr>
        <w:top w:val="single" w:color="auto" w:sz="8" w:space="0"/>
        <w:right w:val="single" w:color="auto" w:sz="8" w:space="0"/>
      </w:pBdr>
      <w:spacing w:before="100" w:beforeAutospacing="1" w:after="100" w:afterAutospacing="1"/>
      <w:jc w:val="center"/>
    </w:pPr>
    <w:rPr>
      <w:rFonts w:ascii="宋体" w:hAnsi="宋体" w:cs="宋体"/>
      <w:color w:val="1F497D"/>
      <w:kern w:val="0"/>
      <w:szCs w:val="21"/>
    </w:rPr>
  </w:style>
  <w:style w:type="paragraph" w:customStyle="1" w:styleId="345">
    <w:name w:val="xl158"/>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color w:val="1F497D"/>
      <w:kern w:val="0"/>
      <w:szCs w:val="21"/>
    </w:rPr>
  </w:style>
  <w:style w:type="paragraph" w:customStyle="1" w:styleId="346">
    <w:name w:val="xl159"/>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color w:val="1F497D"/>
      <w:kern w:val="0"/>
      <w:szCs w:val="21"/>
    </w:rPr>
  </w:style>
  <w:style w:type="paragraph" w:customStyle="1" w:styleId="347">
    <w:name w:val="xl16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1F497D"/>
      <w:kern w:val="0"/>
      <w:szCs w:val="21"/>
    </w:rPr>
  </w:style>
  <w:style w:type="paragraph" w:customStyle="1" w:styleId="348">
    <w:name w:val="xl161"/>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1F497D"/>
      <w:kern w:val="0"/>
      <w:szCs w:val="21"/>
    </w:rPr>
  </w:style>
  <w:style w:type="paragraph" w:customStyle="1" w:styleId="349">
    <w:name w:val="xl162"/>
    <w:basedOn w:val="1"/>
    <w:qFormat/>
    <w:uiPriority w:val="0"/>
    <w:pPr>
      <w:widowControl/>
      <w:pBdr>
        <w:left w:val="single" w:color="auto" w:sz="12" w:space="0"/>
        <w:right w:val="single" w:color="auto" w:sz="8" w:space="0"/>
      </w:pBdr>
      <w:spacing w:before="100" w:beforeAutospacing="1" w:after="100" w:afterAutospacing="1"/>
      <w:jc w:val="center"/>
    </w:pPr>
    <w:rPr>
      <w:rFonts w:ascii="宋体" w:hAnsi="宋体" w:cs="宋体"/>
      <w:color w:val="1F497D"/>
      <w:kern w:val="0"/>
      <w:szCs w:val="21"/>
    </w:rPr>
  </w:style>
  <w:style w:type="paragraph" w:customStyle="1" w:styleId="350">
    <w:name w:val="xl163"/>
    <w:basedOn w:val="1"/>
    <w:qFormat/>
    <w:uiPriority w:val="0"/>
    <w:pPr>
      <w:widowControl/>
      <w:pBdr>
        <w:left w:val="single" w:color="auto" w:sz="8" w:space="0"/>
      </w:pBdr>
      <w:spacing w:before="100" w:beforeAutospacing="1" w:after="100" w:afterAutospacing="1"/>
      <w:jc w:val="center"/>
    </w:pPr>
    <w:rPr>
      <w:rFonts w:ascii="宋体" w:hAnsi="宋体" w:cs="宋体"/>
      <w:color w:val="1F497D"/>
      <w:kern w:val="0"/>
      <w:szCs w:val="21"/>
    </w:rPr>
  </w:style>
  <w:style w:type="paragraph" w:customStyle="1" w:styleId="351">
    <w:name w:val="xl164"/>
    <w:basedOn w:val="1"/>
    <w:qFormat/>
    <w:uiPriority w:val="0"/>
    <w:pPr>
      <w:widowControl/>
      <w:pBdr>
        <w:right w:val="single" w:color="auto" w:sz="8" w:space="0"/>
      </w:pBdr>
      <w:spacing w:before="100" w:beforeAutospacing="1" w:after="100" w:afterAutospacing="1"/>
      <w:jc w:val="center"/>
    </w:pPr>
    <w:rPr>
      <w:rFonts w:ascii="宋体" w:hAnsi="宋体" w:cs="宋体"/>
      <w:color w:val="1F497D"/>
      <w:kern w:val="0"/>
      <w:szCs w:val="21"/>
    </w:rPr>
  </w:style>
  <w:style w:type="paragraph" w:customStyle="1" w:styleId="352">
    <w:name w:val="xl165"/>
    <w:basedOn w:val="1"/>
    <w:qFormat/>
    <w:uiPriority w:val="0"/>
    <w:pPr>
      <w:widowControl/>
      <w:pBdr>
        <w:left w:val="single" w:color="auto" w:sz="8" w:space="0"/>
        <w:bottom w:val="single" w:color="auto" w:sz="8" w:space="0"/>
      </w:pBdr>
      <w:spacing w:before="100" w:beforeAutospacing="1" w:after="100" w:afterAutospacing="1"/>
      <w:jc w:val="center"/>
    </w:pPr>
    <w:rPr>
      <w:rFonts w:ascii="宋体" w:hAnsi="宋体" w:cs="宋体"/>
      <w:color w:val="1F497D"/>
      <w:kern w:val="0"/>
      <w:szCs w:val="21"/>
    </w:rPr>
  </w:style>
  <w:style w:type="paragraph" w:customStyle="1" w:styleId="353">
    <w:name w:val="xl16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1F497D"/>
      <w:kern w:val="0"/>
      <w:szCs w:val="21"/>
    </w:rPr>
  </w:style>
  <w:style w:type="paragraph" w:customStyle="1" w:styleId="354">
    <w:name w:val="xl16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bottom"/>
    </w:pPr>
    <w:rPr>
      <w:rFonts w:ascii="宋体" w:hAnsi="宋体" w:cs="宋体"/>
      <w:color w:val="1F497D"/>
      <w:kern w:val="0"/>
      <w:szCs w:val="21"/>
    </w:rPr>
  </w:style>
  <w:style w:type="paragraph" w:customStyle="1" w:styleId="355">
    <w:name w:val="xl168"/>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bottom"/>
    </w:pPr>
    <w:rPr>
      <w:rFonts w:ascii="宋体" w:hAnsi="宋体" w:cs="宋体"/>
      <w:color w:val="1F497D"/>
      <w:kern w:val="0"/>
      <w:szCs w:val="21"/>
    </w:rPr>
  </w:style>
  <w:style w:type="paragraph" w:customStyle="1" w:styleId="356">
    <w:name w:val="xl16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1F497D"/>
      <w:kern w:val="0"/>
      <w:szCs w:val="21"/>
    </w:rPr>
  </w:style>
  <w:style w:type="paragraph" w:customStyle="1" w:styleId="357">
    <w:name w:val="xl170"/>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color w:val="1F497D"/>
      <w:kern w:val="0"/>
      <w:sz w:val="24"/>
    </w:rPr>
  </w:style>
  <w:style w:type="paragraph" w:customStyle="1" w:styleId="358">
    <w:name w:val="xl171"/>
    <w:basedOn w:val="1"/>
    <w:qFormat/>
    <w:uiPriority w:val="0"/>
    <w:pPr>
      <w:widowControl/>
      <w:pBdr>
        <w:top w:val="single" w:color="auto" w:sz="8" w:space="0"/>
        <w:left w:val="single" w:color="auto" w:sz="8" w:space="0"/>
      </w:pBdr>
      <w:spacing w:before="100" w:beforeAutospacing="1" w:after="100" w:afterAutospacing="1"/>
      <w:jc w:val="center"/>
    </w:pPr>
    <w:rPr>
      <w:rFonts w:ascii="宋体" w:hAnsi="宋体" w:cs="宋体"/>
      <w:color w:val="1F497D"/>
      <w:kern w:val="0"/>
      <w:szCs w:val="21"/>
    </w:rPr>
  </w:style>
  <w:style w:type="paragraph" w:customStyle="1" w:styleId="359">
    <w:name w:val="xl172"/>
    <w:basedOn w:val="1"/>
    <w:qFormat/>
    <w:uiPriority w:val="0"/>
    <w:pPr>
      <w:widowControl/>
      <w:pBdr>
        <w:top w:val="single" w:color="auto" w:sz="8" w:space="0"/>
        <w:right w:val="single" w:color="auto" w:sz="8" w:space="0"/>
      </w:pBdr>
      <w:spacing w:before="100" w:beforeAutospacing="1" w:after="100" w:afterAutospacing="1"/>
      <w:jc w:val="center"/>
    </w:pPr>
    <w:rPr>
      <w:rFonts w:ascii="宋体" w:hAnsi="宋体" w:cs="宋体"/>
      <w:color w:val="1F497D"/>
      <w:kern w:val="0"/>
      <w:szCs w:val="21"/>
    </w:rPr>
  </w:style>
  <w:style w:type="paragraph" w:customStyle="1" w:styleId="360">
    <w:name w:val="xl173"/>
    <w:basedOn w:val="1"/>
    <w:qFormat/>
    <w:uiPriority w:val="0"/>
    <w:pPr>
      <w:widowControl/>
      <w:pBdr>
        <w:left w:val="single" w:color="auto" w:sz="8" w:space="0"/>
      </w:pBdr>
      <w:spacing w:before="100" w:beforeAutospacing="1" w:after="100" w:afterAutospacing="1"/>
      <w:jc w:val="center"/>
    </w:pPr>
    <w:rPr>
      <w:rFonts w:ascii="宋体" w:hAnsi="宋体" w:cs="宋体"/>
      <w:color w:val="1F497D"/>
      <w:kern w:val="0"/>
      <w:szCs w:val="21"/>
    </w:rPr>
  </w:style>
  <w:style w:type="paragraph" w:customStyle="1" w:styleId="361">
    <w:name w:val="xl174"/>
    <w:basedOn w:val="1"/>
    <w:qFormat/>
    <w:uiPriority w:val="0"/>
    <w:pPr>
      <w:widowControl/>
      <w:pBdr>
        <w:right w:val="single" w:color="auto" w:sz="8" w:space="0"/>
      </w:pBdr>
      <w:spacing w:before="100" w:beforeAutospacing="1" w:after="100" w:afterAutospacing="1"/>
      <w:jc w:val="center"/>
    </w:pPr>
    <w:rPr>
      <w:rFonts w:ascii="宋体" w:hAnsi="宋体" w:cs="宋体"/>
      <w:color w:val="1F497D"/>
      <w:kern w:val="0"/>
      <w:szCs w:val="21"/>
    </w:rPr>
  </w:style>
  <w:style w:type="paragraph" w:customStyle="1" w:styleId="362">
    <w:name w:val="xl175"/>
    <w:basedOn w:val="1"/>
    <w:qFormat/>
    <w:uiPriority w:val="0"/>
    <w:pPr>
      <w:widowControl/>
      <w:pBdr>
        <w:left w:val="single" w:color="auto" w:sz="8" w:space="0"/>
        <w:bottom w:val="single" w:color="auto" w:sz="8" w:space="0"/>
      </w:pBdr>
      <w:spacing w:before="100" w:beforeAutospacing="1" w:after="100" w:afterAutospacing="1"/>
      <w:jc w:val="center"/>
    </w:pPr>
    <w:rPr>
      <w:rFonts w:ascii="宋体" w:hAnsi="宋体" w:cs="宋体"/>
      <w:color w:val="1F497D"/>
      <w:kern w:val="0"/>
      <w:szCs w:val="21"/>
    </w:rPr>
  </w:style>
  <w:style w:type="paragraph" w:customStyle="1" w:styleId="363">
    <w:name w:val="xl176"/>
    <w:basedOn w:val="1"/>
    <w:qFormat/>
    <w:uiPriority w:val="0"/>
    <w:pPr>
      <w:widowControl/>
      <w:pBdr>
        <w:left w:val="single" w:color="auto" w:sz="12" w:space="0"/>
        <w:bottom w:val="single" w:color="auto" w:sz="8" w:space="0"/>
        <w:right w:val="single" w:color="auto" w:sz="8" w:space="0"/>
      </w:pBdr>
      <w:spacing w:before="100" w:beforeAutospacing="1" w:after="100" w:afterAutospacing="1"/>
      <w:jc w:val="center"/>
    </w:pPr>
    <w:rPr>
      <w:rFonts w:ascii="宋体" w:hAnsi="宋体" w:cs="宋体"/>
      <w:color w:val="1F497D"/>
      <w:kern w:val="0"/>
      <w:szCs w:val="21"/>
    </w:rPr>
  </w:style>
  <w:style w:type="paragraph" w:customStyle="1" w:styleId="364">
    <w:name w:val="xl177"/>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color w:val="1F497D"/>
      <w:kern w:val="0"/>
      <w:szCs w:val="21"/>
    </w:rPr>
  </w:style>
  <w:style w:type="paragraph" w:customStyle="1" w:styleId="365">
    <w:name w:val="font14"/>
    <w:basedOn w:val="1"/>
    <w:qFormat/>
    <w:uiPriority w:val="0"/>
    <w:pPr>
      <w:widowControl/>
      <w:spacing w:before="100" w:beforeAutospacing="1" w:after="100" w:afterAutospacing="1"/>
      <w:jc w:val="left"/>
    </w:pPr>
    <w:rPr>
      <w:rFonts w:ascii="宋体" w:hAnsi="宋体" w:cs="宋体"/>
      <w:kern w:val="0"/>
      <w:sz w:val="20"/>
      <w:szCs w:val="20"/>
    </w:rPr>
  </w:style>
  <w:style w:type="character" w:customStyle="1" w:styleId="366">
    <w:name w:val="正文文本缩进 3 Char"/>
    <w:link w:val="35"/>
    <w:qFormat/>
    <w:uiPriority w:val="0"/>
    <w:rPr>
      <w:rFonts w:eastAsia="宋体"/>
      <w:kern w:val="2"/>
      <w:sz w:val="16"/>
      <w:szCs w:val="16"/>
      <w:lang w:val="en-US" w:eastAsia="zh-CN" w:bidi="ar-SA"/>
    </w:rPr>
  </w:style>
  <w:style w:type="paragraph" w:customStyle="1" w:styleId="367">
    <w:name w:val="样式  + 行距: 固定值 26 磅"/>
    <w:basedOn w:val="1"/>
    <w:qFormat/>
    <w:uiPriority w:val="0"/>
    <w:pPr>
      <w:spacing w:line="560" w:lineRule="exact"/>
      <w:ind w:firstLine="560" w:firstLineChars="200"/>
    </w:pPr>
    <w:rPr>
      <w:rFonts w:eastAsia="仿宋_GB2312" w:cs="宋体"/>
      <w:sz w:val="28"/>
      <w:szCs w:val="20"/>
    </w:rPr>
  </w:style>
  <w:style w:type="paragraph" w:customStyle="1" w:styleId="368">
    <w:name w:val="Char Char6"/>
    <w:basedOn w:val="1"/>
    <w:qFormat/>
    <w:uiPriority w:val="0"/>
    <w:pPr>
      <w:snapToGrid w:val="0"/>
      <w:spacing w:line="360" w:lineRule="auto"/>
      <w:ind w:firstLine="200" w:firstLineChars="200"/>
    </w:pPr>
    <w:rPr>
      <w:szCs w:val="20"/>
    </w:rPr>
  </w:style>
  <w:style w:type="character" w:customStyle="1" w:styleId="369">
    <w:name w:val="题注 Char"/>
    <w:link w:val="14"/>
    <w:qFormat/>
    <w:uiPriority w:val="0"/>
    <w:rPr>
      <w:rFonts w:ascii="Arial" w:hAnsi="Arial" w:eastAsia="黑体" w:cs="Arial"/>
      <w:kern w:val="2"/>
    </w:rPr>
  </w:style>
  <w:style w:type="paragraph" w:customStyle="1" w:styleId="370">
    <w:name w:val="Char Char Char Char Char Char Char Char Char Char Char Char Char"/>
    <w:basedOn w:val="1"/>
    <w:qFormat/>
    <w:uiPriority w:val="0"/>
    <w:pPr>
      <w:snapToGrid w:val="0"/>
      <w:spacing w:line="360" w:lineRule="auto"/>
      <w:ind w:firstLine="200" w:firstLineChars="200"/>
    </w:pPr>
    <w:rPr>
      <w:rFonts w:eastAsia="仿宋_GB2312"/>
      <w:sz w:val="24"/>
    </w:rPr>
  </w:style>
  <w:style w:type="character" w:customStyle="1" w:styleId="371">
    <w:name w:val="正文文本缩进 2 Char"/>
    <w:qFormat/>
    <w:uiPriority w:val="0"/>
    <w:rPr>
      <w:rFonts w:eastAsia="宋体"/>
      <w:kern w:val="2"/>
      <w:sz w:val="21"/>
      <w:szCs w:val="24"/>
      <w:lang w:val="en-US" w:eastAsia="zh-CN" w:bidi="ar-SA"/>
    </w:rPr>
  </w:style>
  <w:style w:type="paragraph" w:customStyle="1" w:styleId="372">
    <w:name w:val="p0"/>
    <w:basedOn w:val="1"/>
    <w:qFormat/>
    <w:uiPriority w:val="0"/>
    <w:pPr>
      <w:widowControl/>
    </w:pPr>
    <w:rPr>
      <w:kern w:val="0"/>
      <w:sz w:val="28"/>
      <w:szCs w:val="28"/>
    </w:rPr>
  </w:style>
  <w:style w:type="paragraph" w:customStyle="1" w:styleId="373">
    <w:name w:val="样式8表号"/>
    <w:next w:val="1"/>
    <w:qFormat/>
    <w:uiPriority w:val="0"/>
    <w:pPr>
      <w:spacing w:line="360" w:lineRule="auto"/>
      <w:ind w:firstLine="510"/>
      <w:jc w:val="both"/>
    </w:pPr>
    <w:rPr>
      <w:rFonts w:ascii="Times New Roman" w:hAnsi="Times New Roman" w:eastAsia="宋体" w:cs="Times New Roman"/>
      <w:lang w:val="en-US" w:eastAsia="zh-CN" w:bidi="ar-SA"/>
    </w:rPr>
  </w:style>
  <w:style w:type="paragraph" w:customStyle="1" w:styleId="374">
    <w:name w:val="xl3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75">
    <w:name w:val="表头文字小"/>
    <w:basedOn w:val="1"/>
    <w:link w:val="377"/>
    <w:qFormat/>
    <w:uiPriority w:val="0"/>
    <w:pPr>
      <w:ind w:firstLine="31"/>
    </w:pPr>
    <w:rPr>
      <w:rFonts w:ascii="宋体"/>
      <w:szCs w:val="21"/>
    </w:rPr>
  </w:style>
  <w:style w:type="character" w:customStyle="1" w:styleId="376">
    <w:name w:val="表格 Char"/>
    <w:link w:val="84"/>
    <w:qFormat/>
    <w:uiPriority w:val="0"/>
    <w:rPr>
      <w:rFonts w:ascii="宋体" w:eastAsia="宋体"/>
      <w:sz w:val="24"/>
      <w:lang w:val="en-US" w:eastAsia="zh-CN" w:bidi="ar-SA"/>
    </w:rPr>
  </w:style>
  <w:style w:type="character" w:customStyle="1" w:styleId="377">
    <w:name w:val="表头文字小 Char"/>
    <w:link w:val="375"/>
    <w:qFormat/>
    <w:uiPriority w:val="0"/>
    <w:rPr>
      <w:rFonts w:ascii="宋体" w:eastAsia="宋体"/>
      <w:kern w:val="2"/>
      <w:sz w:val="21"/>
      <w:szCs w:val="21"/>
      <w:lang w:val="en-US" w:eastAsia="zh-CN" w:bidi="ar-SA"/>
    </w:rPr>
  </w:style>
  <w:style w:type="paragraph" w:customStyle="1" w:styleId="378">
    <w:name w:val="样式 正文2"/>
    <w:basedOn w:val="1"/>
    <w:qFormat/>
    <w:uiPriority w:val="0"/>
    <w:pPr>
      <w:spacing w:line="520" w:lineRule="exact"/>
      <w:ind w:firstLine="480" w:firstLineChars="200"/>
    </w:pPr>
    <w:rPr>
      <w:rFonts w:cs="宋体"/>
      <w:sz w:val="24"/>
      <w:szCs w:val="20"/>
    </w:rPr>
  </w:style>
  <w:style w:type="character" w:customStyle="1" w:styleId="379">
    <w:name w:val="Char Char4"/>
    <w:semiHidden/>
    <w:qFormat/>
    <w:uiPriority w:val="0"/>
    <w:rPr>
      <w:rFonts w:eastAsia="宋体"/>
      <w:kern w:val="2"/>
      <w:sz w:val="21"/>
      <w:szCs w:val="24"/>
      <w:lang w:val="en-US" w:eastAsia="zh-CN" w:bidi="ar-SA"/>
    </w:rPr>
  </w:style>
  <w:style w:type="character" w:customStyle="1" w:styleId="380">
    <w:name w:val="表格文字 Char"/>
    <w:link w:val="158"/>
    <w:qFormat/>
    <w:uiPriority w:val="0"/>
    <w:rPr>
      <w:rFonts w:ascii="Calibri" w:hAnsi="Calibri"/>
      <w:sz w:val="21"/>
    </w:rPr>
  </w:style>
  <w:style w:type="character" w:customStyle="1" w:styleId="381">
    <w:name w:val="表头 Char"/>
    <w:link w:val="81"/>
    <w:qFormat/>
    <w:uiPriority w:val="0"/>
    <w:rPr>
      <w:b/>
      <w:bCs/>
      <w:kern w:val="2"/>
      <w:sz w:val="24"/>
      <w:szCs w:val="24"/>
    </w:rPr>
  </w:style>
  <w:style w:type="paragraph" w:customStyle="1" w:styleId="382">
    <w:name w:val="表5号字"/>
    <w:semiHidden/>
    <w:qFormat/>
    <w:uiPriority w:val="0"/>
    <w:pPr>
      <w:keepNext/>
      <w:widowControl w:val="0"/>
      <w:adjustRightInd w:val="0"/>
      <w:spacing w:before="120" w:line="60" w:lineRule="atLeast"/>
      <w:jc w:val="center"/>
      <w:textAlignment w:val="baseline"/>
    </w:pPr>
    <w:rPr>
      <w:rFonts w:ascii="Times New Roman" w:hAnsi="Times New Roman" w:eastAsia="宋体" w:cs="Times New Roman"/>
      <w:sz w:val="21"/>
      <w:lang w:val="en-US" w:eastAsia="zh-CN" w:bidi="ar-SA"/>
    </w:rPr>
  </w:style>
  <w:style w:type="paragraph" w:customStyle="1" w:styleId="383">
    <w:name w:val="Revision"/>
    <w:hidden/>
    <w:semiHidden/>
    <w:qFormat/>
    <w:uiPriority w:val="0"/>
    <w:rPr>
      <w:rFonts w:ascii="Times New Roman" w:hAnsi="Times New Roman" w:eastAsia="宋体" w:cs="Times New Roman"/>
      <w:kern w:val="2"/>
      <w:sz w:val="21"/>
      <w:szCs w:val="24"/>
      <w:lang w:val="en-US" w:eastAsia="zh-CN" w:bidi="ar-SA"/>
    </w:rPr>
  </w:style>
  <w:style w:type="paragraph" w:customStyle="1" w:styleId="384">
    <w:name w:val="样式 表格文字 + 自动设置"/>
    <w:basedOn w:val="158"/>
    <w:link w:val="385"/>
    <w:qFormat/>
    <w:uiPriority w:val="0"/>
    <w:pPr>
      <w:widowControl/>
      <w:tabs>
        <w:tab w:val="left" w:pos="-24"/>
        <w:tab w:val="clear" w:pos="3720"/>
      </w:tabs>
      <w:autoSpaceDE/>
      <w:autoSpaceDN/>
      <w:adjustRightInd/>
      <w:spacing w:line="0" w:lineRule="atLeast"/>
      <w:textAlignment w:val="baseline"/>
    </w:pPr>
    <w:rPr>
      <w:rFonts w:ascii="Times New Roman" w:hAnsi="Times New Roman"/>
      <w:color w:val="0000FF"/>
      <w:u w:color="000000"/>
    </w:rPr>
  </w:style>
  <w:style w:type="character" w:customStyle="1" w:styleId="385">
    <w:name w:val="样式 表格文字 + 自动设置 Char"/>
    <w:link w:val="384"/>
    <w:qFormat/>
    <w:uiPriority w:val="0"/>
    <w:rPr>
      <w:color w:val="0000FF"/>
      <w:sz w:val="21"/>
      <w:u w:color="000000"/>
    </w:rPr>
  </w:style>
  <w:style w:type="character" w:customStyle="1" w:styleId="386">
    <w:name w:val="标题 4 Char"/>
    <w:link w:val="5"/>
    <w:qFormat/>
    <w:uiPriority w:val="0"/>
    <w:rPr>
      <w:rFonts w:ascii="宋体" w:hAnsi="宋体"/>
      <w:b/>
      <w:bCs/>
      <w:color w:val="000000"/>
      <w:kern w:val="2"/>
      <w:sz w:val="24"/>
      <w:szCs w:val="24"/>
    </w:rPr>
  </w:style>
  <w:style w:type="character" w:customStyle="1" w:styleId="387">
    <w:name w:val="标题 5 Char"/>
    <w:link w:val="6"/>
    <w:qFormat/>
    <w:uiPriority w:val="0"/>
    <w:rPr>
      <w:rFonts w:ascii="Cambria" w:hAnsi="Cambria" w:eastAsia="黑体"/>
      <w:bCs/>
      <w:color w:val="000000"/>
      <w:kern w:val="2"/>
      <w:sz w:val="28"/>
      <w:szCs w:val="24"/>
    </w:rPr>
  </w:style>
  <w:style w:type="character" w:customStyle="1" w:styleId="388">
    <w:name w:val="标题 6 Char"/>
    <w:link w:val="7"/>
    <w:qFormat/>
    <w:uiPriority w:val="0"/>
    <w:rPr>
      <w:rFonts w:ascii="Arial" w:hAnsi="Arial" w:eastAsia="黑体"/>
      <w:b/>
      <w:snapToGrid/>
      <w:kern w:val="2"/>
      <w:sz w:val="24"/>
    </w:rPr>
  </w:style>
  <w:style w:type="character" w:customStyle="1" w:styleId="389">
    <w:name w:val="标题 7 Char"/>
    <w:link w:val="8"/>
    <w:qFormat/>
    <w:uiPriority w:val="0"/>
    <w:rPr>
      <w:b/>
      <w:snapToGrid/>
      <w:kern w:val="2"/>
      <w:sz w:val="24"/>
    </w:rPr>
  </w:style>
  <w:style w:type="character" w:customStyle="1" w:styleId="390">
    <w:name w:val="标题 8 Char"/>
    <w:link w:val="9"/>
    <w:qFormat/>
    <w:uiPriority w:val="0"/>
    <w:rPr>
      <w:rFonts w:ascii="Arial" w:hAnsi="Arial" w:eastAsia="黑体"/>
      <w:snapToGrid/>
      <w:kern w:val="2"/>
      <w:sz w:val="24"/>
    </w:rPr>
  </w:style>
  <w:style w:type="character" w:customStyle="1" w:styleId="391">
    <w:name w:val="标题 9 Char"/>
    <w:link w:val="10"/>
    <w:qFormat/>
    <w:uiPriority w:val="0"/>
    <w:rPr>
      <w:rFonts w:ascii="Arial" w:hAnsi="Arial" w:eastAsia="黑体"/>
      <w:snapToGrid/>
      <w:kern w:val="2"/>
      <w:sz w:val="24"/>
    </w:rPr>
  </w:style>
  <w:style w:type="character" w:customStyle="1" w:styleId="392">
    <w:name w:val="日期 Char"/>
    <w:link w:val="25"/>
    <w:qFormat/>
    <w:uiPriority w:val="0"/>
    <w:rPr>
      <w:kern w:val="2"/>
      <w:sz w:val="21"/>
      <w:szCs w:val="24"/>
    </w:rPr>
  </w:style>
  <w:style w:type="character" w:customStyle="1" w:styleId="393">
    <w:name w:val="正文文本 2 Char"/>
    <w:link w:val="39"/>
    <w:qFormat/>
    <w:uiPriority w:val="0"/>
    <w:rPr>
      <w:kern w:val="2"/>
      <w:sz w:val="21"/>
      <w:szCs w:val="24"/>
    </w:rPr>
  </w:style>
  <w:style w:type="character" w:customStyle="1" w:styleId="394">
    <w:name w:val="正文文本 3 Char"/>
    <w:link w:val="17"/>
    <w:qFormat/>
    <w:uiPriority w:val="0"/>
    <w:rPr>
      <w:kern w:val="2"/>
      <w:sz w:val="16"/>
      <w:szCs w:val="16"/>
    </w:rPr>
  </w:style>
  <w:style w:type="character" w:customStyle="1" w:styleId="395">
    <w:name w:val="正文首行缩进 2 Char"/>
    <w:link w:val="45"/>
    <w:qFormat/>
    <w:uiPriority w:val="0"/>
    <w:rPr>
      <w:kern w:val="2"/>
      <w:sz w:val="24"/>
      <w:szCs w:val="24"/>
    </w:rPr>
  </w:style>
  <w:style w:type="character" w:customStyle="1" w:styleId="396">
    <w:name w:val="批注框文本 Char"/>
    <w:link w:val="27"/>
    <w:semiHidden/>
    <w:qFormat/>
    <w:uiPriority w:val="0"/>
    <w:rPr>
      <w:kern w:val="2"/>
      <w:sz w:val="18"/>
      <w:szCs w:val="18"/>
    </w:rPr>
  </w:style>
  <w:style w:type="character" w:customStyle="1" w:styleId="397">
    <w:name w:val="注释标题 Char"/>
    <w:link w:val="12"/>
    <w:qFormat/>
    <w:uiPriority w:val="0"/>
    <w:rPr>
      <w:snapToGrid/>
      <w:kern w:val="2"/>
      <w:sz w:val="24"/>
      <w:szCs w:val="24"/>
    </w:rPr>
  </w:style>
  <w:style w:type="character" w:customStyle="1" w:styleId="398">
    <w:name w:val="标题 Char"/>
    <w:link w:val="42"/>
    <w:qFormat/>
    <w:uiPriority w:val="10"/>
    <w:rPr>
      <w:rFonts w:ascii="Arial" w:hAnsi="Arial" w:cs="Arial"/>
      <w:b/>
      <w:bCs/>
      <w:kern w:val="2"/>
      <w:sz w:val="32"/>
      <w:szCs w:val="32"/>
    </w:rPr>
  </w:style>
  <w:style w:type="character" w:customStyle="1" w:styleId="399">
    <w:name w:val="批注文字 Char"/>
    <w:link w:val="16"/>
    <w:semiHidden/>
    <w:qFormat/>
    <w:uiPriority w:val="0"/>
    <w:rPr>
      <w:kern w:val="2"/>
      <w:sz w:val="24"/>
      <w:szCs w:val="24"/>
    </w:rPr>
  </w:style>
  <w:style w:type="character" w:customStyle="1" w:styleId="400">
    <w:name w:val="批注主题 Char"/>
    <w:link w:val="43"/>
    <w:semiHidden/>
    <w:qFormat/>
    <w:uiPriority w:val="0"/>
    <w:rPr>
      <w:b/>
      <w:bCs/>
      <w:kern w:val="2"/>
      <w:sz w:val="24"/>
      <w:szCs w:val="24"/>
    </w:rPr>
  </w:style>
  <w:style w:type="character" w:customStyle="1" w:styleId="401">
    <w:name w:val="HTML 预设格式 Char"/>
    <w:link w:val="40"/>
    <w:qFormat/>
    <w:uiPriority w:val="0"/>
    <w:rPr>
      <w:rFonts w:ascii="Arial" w:hAnsi="Arial" w:cs="Arial"/>
      <w:sz w:val="24"/>
      <w:szCs w:val="24"/>
    </w:rPr>
  </w:style>
  <w:style w:type="paragraph" w:customStyle="1" w:styleId="402">
    <w:name w:val="font15"/>
    <w:basedOn w:val="1"/>
    <w:qFormat/>
    <w:uiPriority w:val="0"/>
    <w:pPr>
      <w:widowControl/>
      <w:spacing w:before="100" w:beforeAutospacing="1" w:after="100" w:afterAutospacing="1"/>
      <w:jc w:val="left"/>
    </w:pPr>
    <w:rPr>
      <w:rFonts w:ascii="宋体" w:hAnsi="宋体" w:cs="宋体"/>
      <w:kern w:val="0"/>
      <w:szCs w:val="21"/>
    </w:rPr>
  </w:style>
  <w:style w:type="paragraph" w:customStyle="1" w:styleId="403">
    <w:name w:val="xl15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4">
    <w:name w:val="xl15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5">
    <w:name w:val="xl15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6">
    <w:name w:val="xl1597"/>
    <w:basedOn w:val="1"/>
    <w:qFormat/>
    <w:uiPriority w:val="0"/>
    <w:pPr>
      <w:widowControl/>
      <w:pBdr>
        <w:bottom w:val="single" w:color="auto" w:sz="4" w:space="0"/>
      </w:pBdr>
      <w:spacing w:before="100" w:beforeAutospacing="1" w:after="100" w:afterAutospacing="1"/>
      <w:jc w:val="left"/>
    </w:pPr>
    <w:rPr>
      <w:rFonts w:ascii="宋体" w:hAnsi="宋体" w:cs="宋体"/>
      <w:kern w:val="0"/>
      <w:sz w:val="20"/>
      <w:szCs w:val="20"/>
    </w:rPr>
  </w:style>
  <w:style w:type="paragraph" w:customStyle="1" w:styleId="407">
    <w:name w:val="xl1598"/>
    <w:basedOn w:val="1"/>
    <w:qFormat/>
    <w:uiPriority w:val="0"/>
    <w:pPr>
      <w:widowControl/>
      <w:pBdr>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408">
    <w:name w:val="xl1599"/>
    <w:basedOn w:val="1"/>
    <w:qFormat/>
    <w:uiPriority w:val="0"/>
    <w:pPr>
      <w:widowControl/>
      <w:pBdr>
        <w:bottom w:val="single" w:color="auto" w:sz="4" w:space="0"/>
      </w:pBdr>
      <w:spacing w:before="100" w:beforeAutospacing="1" w:after="100" w:afterAutospacing="1"/>
      <w:jc w:val="right"/>
    </w:pPr>
    <w:rPr>
      <w:rFonts w:ascii="宋体" w:hAnsi="宋体" w:cs="宋体"/>
      <w:kern w:val="0"/>
      <w:sz w:val="20"/>
      <w:szCs w:val="20"/>
    </w:rPr>
  </w:style>
  <w:style w:type="paragraph" w:customStyle="1" w:styleId="409">
    <w:name w:val="xl16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0">
    <w:name w:val="xl16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1">
    <w:name w:val="xl160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412">
    <w:name w:val="xl16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3">
    <w:name w:val="xl16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414">
    <w:name w:val="xl1605"/>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415">
    <w:name w:val="xl1606"/>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416">
    <w:name w:val="xl160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17">
    <w:name w:val="xl16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418">
    <w:name w:val="xl160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419">
    <w:name w:val="xl161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20">
    <w:name w:val="xl16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421">
    <w:name w:val="xl1612"/>
    <w:basedOn w:val="1"/>
    <w:qFormat/>
    <w:uiPriority w:val="0"/>
    <w:pPr>
      <w:widowControl/>
      <w:pBdr>
        <w:bottom w:val="single" w:color="auto" w:sz="4" w:space="0"/>
      </w:pBdr>
      <w:spacing w:before="100" w:beforeAutospacing="1" w:after="100" w:afterAutospacing="1"/>
      <w:jc w:val="left"/>
    </w:pPr>
    <w:rPr>
      <w:rFonts w:ascii="宋体" w:hAnsi="宋体" w:cs="宋体"/>
      <w:kern w:val="0"/>
      <w:sz w:val="20"/>
      <w:szCs w:val="20"/>
    </w:rPr>
  </w:style>
  <w:style w:type="paragraph" w:customStyle="1" w:styleId="422">
    <w:name w:val="xl1613"/>
    <w:basedOn w:val="1"/>
    <w:qFormat/>
    <w:uiPriority w:val="0"/>
    <w:pPr>
      <w:widowControl/>
      <w:pBdr>
        <w:bottom w:val="single" w:color="auto" w:sz="4" w:space="0"/>
      </w:pBdr>
      <w:spacing w:before="100" w:beforeAutospacing="1" w:after="100" w:afterAutospacing="1"/>
      <w:jc w:val="left"/>
    </w:pPr>
    <w:rPr>
      <w:rFonts w:ascii="宋体" w:hAnsi="宋体" w:cs="宋体"/>
      <w:kern w:val="0"/>
      <w:sz w:val="20"/>
      <w:szCs w:val="20"/>
    </w:rPr>
  </w:style>
  <w:style w:type="paragraph" w:customStyle="1" w:styleId="423">
    <w:name w:val="xl1614"/>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24">
    <w:name w:val="xl16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425">
    <w:name w:val="xl16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rPr>
  </w:style>
  <w:style w:type="paragraph" w:customStyle="1" w:styleId="426">
    <w:name w:val="xl1617"/>
    <w:basedOn w:val="1"/>
    <w:qFormat/>
    <w:uiPriority w:val="0"/>
    <w:pPr>
      <w:widowControl/>
      <w:spacing w:before="100" w:beforeAutospacing="1" w:after="100" w:afterAutospacing="1"/>
      <w:jc w:val="center"/>
      <w:textAlignment w:val="bottom"/>
    </w:pPr>
    <w:rPr>
      <w:rFonts w:ascii="宋体" w:hAnsi="宋体" w:cs="宋体"/>
      <w:b/>
      <w:bCs/>
      <w:kern w:val="0"/>
      <w:sz w:val="36"/>
      <w:szCs w:val="36"/>
    </w:rPr>
  </w:style>
  <w:style w:type="paragraph" w:customStyle="1" w:styleId="427">
    <w:name w:val="xl1618"/>
    <w:basedOn w:val="1"/>
    <w:qFormat/>
    <w:uiPriority w:val="0"/>
    <w:pPr>
      <w:widowControl/>
      <w:spacing w:before="100" w:beforeAutospacing="1" w:after="100" w:afterAutospacing="1"/>
      <w:jc w:val="center"/>
      <w:textAlignment w:val="bottom"/>
    </w:pPr>
    <w:rPr>
      <w:rFonts w:ascii="宋体" w:hAnsi="宋体" w:cs="宋体"/>
      <w:kern w:val="0"/>
      <w:sz w:val="24"/>
    </w:rPr>
  </w:style>
  <w:style w:type="paragraph" w:customStyle="1" w:styleId="428">
    <w:name w:val="xl16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1620"/>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430">
    <w:name w:val="xl1621"/>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431">
    <w:name w:val="xl16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32">
    <w:name w:val="xl162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433">
    <w:name w:val="xl162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434">
    <w:name w:val="xl162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5">
    <w:name w:val="样式 样式 正文首行缩进 + 首行缩进:  1 字符 + 宋体"/>
    <w:basedOn w:val="1"/>
    <w:link w:val="436"/>
    <w:qFormat/>
    <w:uiPriority w:val="0"/>
    <w:pPr>
      <w:spacing w:line="460" w:lineRule="exact"/>
      <w:ind w:firstLine="480" w:firstLineChars="200"/>
      <w:jc w:val="left"/>
    </w:pPr>
    <w:rPr>
      <w:rFonts w:ascii="宋体" w:hAnsi="宋体"/>
      <w:color w:val="0000FF"/>
      <w:sz w:val="24"/>
      <w:szCs w:val="20"/>
    </w:rPr>
  </w:style>
  <w:style w:type="character" w:customStyle="1" w:styleId="436">
    <w:name w:val="样式 样式 正文首行缩进 + 首行缩进:  1 字符 + 宋体 Char"/>
    <w:link w:val="435"/>
    <w:qFormat/>
    <w:uiPriority w:val="0"/>
    <w:rPr>
      <w:rFonts w:ascii="宋体" w:hAnsi="宋体" w:eastAsia="宋体"/>
      <w:color w:val="0000FF"/>
      <w:kern w:val="2"/>
      <w:sz w:val="24"/>
      <w:lang w:val="en-US" w:eastAsia="zh-CN" w:bidi="ar-SA"/>
    </w:rPr>
  </w:style>
  <w:style w:type="character" w:customStyle="1" w:styleId="437">
    <w:name w:val="样式 宋体"/>
    <w:qFormat/>
    <w:uiPriority w:val="0"/>
    <w:rPr>
      <w:rFonts w:ascii="宋体" w:hAnsi="宋体" w:eastAsia="宋体"/>
      <w:kern w:val="2"/>
      <w:sz w:val="24"/>
      <w:szCs w:val="21"/>
      <w:lang w:val="en-US" w:eastAsia="zh-CN" w:bidi="ar-SA"/>
    </w:rPr>
  </w:style>
  <w:style w:type="paragraph" w:customStyle="1" w:styleId="438">
    <w:name w:val="Char Char Char Char Char Char1 Char"/>
    <w:basedOn w:val="1"/>
    <w:qFormat/>
    <w:uiPriority w:val="0"/>
    <w:rPr>
      <w:rFonts w:ascii="RomanT" w:hAnsi="RomanT"/>
      <w:kern w:val="21"/>
      <w:szCs w:val="21"/>
    </w:rPr>
  </w:style>
  <w:style w:type="character" w:customStyle="1" w:styleId="439">
    <w:name w:val="标准 Char"/>
    <w:link w:val="440"/>
    <w:qFormat/>
    <w:uiPriority w:val="0"/>
    <w:rPr>
      <w:rFonts w:ascii="Calibri" w:hAnsi="Calibri" w:eastAsiaTheme="minorEastAsia"/>
      <w:kern w:val="2"/>
      <w:sz w:val="24"/>
      <w:szCs w:val="28"/>
    </w:rPr>
  </w:style>
  <w:style w:type="paragraph" w:customStyle="1" w:styleId="440">
    <w:name w:val="标准"/>
    <w:link w:val="439"/>
    <w:qFormat/>
    <w:uiPriority w:val="0"/>
    <w:pPr>
      <w:widowControl w:val="0"/>
      <w:spacing w:line="500" w:lineRule="exact"/>
      <w:ind w:firstLine="200" w:firstLineChars="200"/>
      <w:jc w:val="both"/>
    </w:pPr>
    <w:rPr>
      <w:rFonts w:ascii="Calibri" w:hAnsi="Calibri" w:cs="Times New Roman" w:eastAsiaTheme="minorEastAsia"/>
      <w:kern w:val="2"/>
      <w:sz w:val="24"/>
      <w:szCs w:val="28"/>
      <w:lang w:val="en-US" w:eastAsia="zh-CN" w:bidi="ar-SA"/>
    </w:rPr>
  </w:style>
  <w:style w:type="paragraph" w:customStyle="1" w:styleId="441">
    <w:name w:val="公正文"/>
    <w:basedOn w:val="13"/>
    <w:link w:val="442"/>
    <w:qFormat/>
    <w:uiPriority w:val="0"/>
    <w:pPr>
      <w:adjustRightInd w:val="0"/>
      <w:snapToGrid w:val="0"/>
      <w:spacing w:line="355" w:lineRule="auto"/>
      <w:ind w:firstLine="200"/>
      <w:jc w:val="both"/>
    </w:pPr>
    <w:rPr>
      <w:rFonts w:ascii="宋体" w:hAnsi="宋体" w:eastAsia="仿宋_GB2312"/>
      <w:sz w:val="28"/>
    </w:rPr>
  </w:style>
  <w:style w:type="character" w:customStyle="1" w:styleId="442">
    <w:name w:val="公正文 Char"/>
    <w:link w:val="441"/>
    <w:qFormat/>
    <w:uiPriority w:val="0"/>
    <w:rPr>
      <w:rFonts w:ascii="宋体" w:hAnsi="宋体" w:eastAsia="仿宋_GB2312"/>
      <w:kern w:val="2"/>
      <w:sz w:val="28"/>
      <w:szCs w:val="24"/>
      <w:lang w:bidi="ar-SA"/>
    </w:rPr>
  </w:style>
  <w:style w:type="paragraph" w:customStyle="1" w:styleId="443">
    <w:name w:val="样式 首行缩进:  2 字符1"/>
    <w:basedOn w:val="1"/>
    <w:qFormat/>
    <w:uiPriority w:val="0"/>
    <w:pPr>
      <w:spacing w:line="600" w:lineRule="exact"/>
      <w:ind w:firstLine="560" w:firstLineChars="200"/>
    </w:pPr>
    <w:rPr>
      <w:rFonts w:ascii="宋体" w:cs="宋体"/>
      <w:sz w:val="28"/>
      <w:szCs w:val="20"/>
    </w:rPr>
  </w:style>
  <w:style w:type="paragraph" w:customStyle="1" w:styleId="444">
    <w:name w:val="样式 样式16 + 首行缩进:  2 字符"/>
    <w:basedOn w:val="1"/>
    <w:qFormat/>
    <w:uiPriority w:val="0"/>
    <w:pPr>
      <w:adjustRightInd w:val="0"/>
      <w:snapToGrid w:val="0"/>
      <w:spacing w:line="355" w:lineRule="auto"/>
      <w:ind w:firstLine="560" w:firstLineChars="200"/>
    </w:pPr>
    <w:rPr>
      <w:rFonts w:ascii="宋体" w:hAnsi="宋体" w:eastAsia="仿宋_GB2312" w:cs="宋体"/>
      <w:sz w:val="28"/>
      <w:szCs w:val="20"/>
    </w:rPr>
  </w:style>
  <w:style w:type="paragraph" w:customStyle="1" w:styleId="445">
    <w:name w:val="样式 样式 正文首行缩进 2 + 四号 首行缩进:  2 字符 + 首行缩进:  2 字符"/>
    <w:basedOn w:val="1"/>
    <w:qFormat/>
    <w:uiPriority w:val="0"/>
    <w:pPr>
      <w:spacing w:line="360" w:lineRule="auto"/>
      <w:ind w:firstLine="480" w:firstLineChars="200"/>
    </w:pPr>
    <w:rPr>
      <w:rFonts w:cs="宋体"/>
      <w:sz w:val="24"/>
    </w:rPr>
  </w:style>
  <w:style w:type="paragraph" w:customStyle="1" w:styleId="446">
    <w:name w:val="样式 标题 2 + 宋体"/>
    <w:basedOn w:val="3"/>
    <w:link w:val="447"/>
    <w:qFormat/>
    <w:uiPriority w:val="0"/>
    <w:pPr>
      <w:spacing w:before="120" w:line="360" w:lineRule="auto"/>
    </w:pPr>
    <w:rPr>
      <w:rFonts w:ascii="宋体" w:hAnsi="宋体" w:eastAsia="宋体" w:cs="Times New Roman"/>
      <w:kern w:val="0"/>
      <w:sz w:val="28"/>
    </w:rPr>
  </w:style>
  <w:style w:type="character" w:customStyle="1" w:styleId="447">
    <w:name w:val="样式 标题 2 + 宋体 Char"/>
    <w:link w:val="446"/>
    <w:qFormat/>
    <w:uiPriority w:val="0"/>
    <w:rPr>
      <w:rFonts w:ascii="宋体" w:hAnsi="宋体" w:eastAsia="宋体"/>
      <w:b/>
      <w:bCs/>
      <w:sz w:val="28"/>
      <w:szCs w:val="32"/>
      <w:lang w:bidi="ar-SA"/>
    </w:rPr>
  </w:style>
  <w:style w:type="paragraph" w:customStyle="1" w:styleId="448">
    <w:name w:val="样式 样式 正文缩进 + (符号) 宋体 小四 首行缩进:  2 字符 行距: 固定值 22 磅1 + 首行缩进:  2 字符"/>
    <w:basedOn w:val="1"/>
    <w:link w:val="449"/>
    <w:qFormat/>
    <w:uiPriority w:val="0"/>
    <w:pPr>
      <w:spacing w:line="260" w:lineRule="exact"/>
      <w:ind w:left="210" w:right="210" w:firstLine="432" w:firstLineChars="200"/>
    </w:pPr>
    <w:rPr>
      <w:rFonts w:ascii="宋体" w:hAnsi="宋体" w:cs="宋体"/>
      <w:sz w:val="24"/>
    </w:rPr>
  </w:style>
  <w:style w:type="character" w:customStyle="1" w:styleId="449">
    <w:name w:val="样式 样式 正文缩进 + (符号) 宋体 小四 首行缩进:  2 字符 行距: 固定值 22 磅1 + 首行缩进:  2 字符 Char"/>
    <w:link w:val="448"/>
    <w:qFormat/>
    <w:uiPriority w:val="0"/>
    <w:rPr>
      <w:rFonts w:ascii="宋体" w:hAnsi="宋体" w:eastAsia="宋体" w:cs="宋体"/>
      <w:kern w:val="2"/>
      <w:sz w:val="24"/>
      <w:szCs w:val="24"/>
      <w:lang w:val="en-US" w:eastAsia="zh-CN" w:bidi="ar-SA"/>
    </w:rPr>
  </w:style>
  <w:style w:type="paragraph" w:styleId="450">
    <w:name w:val="List Paragraph"/>
    <w:basedOn w:val="1"/>
    <w:qFormat/>
    <w:uiPriority w:val="34"/>
    <w:pPr>
      <w:ind w:firstLine="420" w:firstLineChars="200"/>
    </w:pPr>
  </w:style>
  <w:style w:type="paragraph" w:customStyle="1" w:styleId="451">
    <w:name w:val="x-图标"/>
    <w:basedOn w:val="1"/>
    <w:next w:val="1"/>
    <w:qFormat/>
    <w:uiPriority w:val="0"/>
    <w:pPr>
      <w:spacing w:line="360" w:lineRule="auto"/>
      <w:jc w:val="center"/>
    </w:pPr>
    <w:rPr>
      <w:b/>
      <w:sz w:val="24"/>
      <w:szCs w:val="22"/>
    </w:rPr>
  </w:style>
  <w:style w:type="paragraph" w:customStyle="1" w:styleId="452">
    <w:name w:val="表格名称"/>
    <w:basedOn w:val="1"/>
    <w:qFormat/>
    <w:uiPriority w:val="0"/>
    <w:pPr>
      <w:snapToGrid w:val="0"/>
      <w:spacing w:line="460" w:lineRule="exact"/>
      <w:jc w:val="left"/>
      <w:textAlignment w:val="baseline"/>
    </w:pPr>
    <w:rPr>
      <w:b/>
      <w:kern w:val="0"/>
      <w:szCs w:val="21"/>
      <w:lang w:val="zh-CN"/>
    </w:rPr>
  </w:style>
  <w:style w:type="paragraph" w:customStyle="1" w:styleId="453">
    <w:name w:val="样式 (中文) 华文仿宋 三号"/>
    <w:basedOn w:val="1"/>
    <w:qFormat/>
    <w:uiPriority w:val="0"/>
    <w:pPr>
      <w:ind w:firstLine="640" w:firstLineChars="200"/>
    </w:pPr>
    <w:rPr>
      <w:rFonts w:eastAsia="仿宋_GB2312" w:cs="宋体"/>
      <w:sz w:val="32"/>
      <w:szCs w:val="20"/>
    </w:rPr>
  </w:style>
  <w:style w:type="character" w:customStyle="1" w:styleId="454">
    <w:name w:val="副标题 Char"/>
    <w:basedOn w:val="50"/>
    <w:link w:val="32"/>
    <w:qFormat/>
    <w:uiPriority w:val="0"/>
    <w:rPr>
      <w:rFonts w:ascii="Cambria" w:hAnsi="Cambria" w:eastAsia="黑体" w:cstheme="majorBidi"/>
      <w:bCs/>
      <w:kern w:val="28"/>
      <w:sz w:val="24"/>
      <w:szCs w:val="32"/>
    </w:rPr>
  </w:style>
  <w:style w:type="paragraph" w:customStyle="1" w:styleId="455">
    <w:name w:val="样式 首行缩进:  2 字符"/>
    <w:basedOn w:val="1"/>
    <w:qFormat/>
    <w:uiPriority w:val="0"/>
    <w:pPr>
      <w:spacing w:line="360" w:lineRule="auto"/>
      <w:ind w:firstLine="200" w:firstLineChars="200"/>
    </w:pPr>
    <w:rPr>
      <w:rFonts w:cs="宋体"/>
      <w:sz w:val="24"/>
      <w:szCs w:val="20"/>
    </w:rPr>
  </w:style>
  <w:style w:type="paragraph" w:customStyle="1" w:styleId="456">
    <w:name w:val="Char3"/>
    <w:basedOn w:val="1"/>
    <w:qFormat/>
    <w:uiPriority w:val="0"/>
    <w:pPr>
      <w:autoSpaceDE w:val="0"/>
      <w:autoSpaceDN w:val="0"/>
      <w:adjustRightInd w:val="0"/>
      <w:snapToGrid w:val="0"/>
      <w:spacing w:before="50" w:after="50" w:line="360" w:lineRule="auto"/>
      <w:ind w:firstLine="560" w:firstLineChars="200"/>
    </w:pPr>
    <w:rPr>
      <w:rFonts w:ascii="宋体" w:hAnsi="宋体"/>
      <w:color w:val="000000"/>
      <w:sz w:val="28"/>
      <w:szCs w:val="32"/>
    </w:rPr>
  </w:style>
  <w:style w:type="character" w:customStyle="1" w:styleId="457">
    <w:name w:val="2 Char"/>
    <w:basedOn w:val="50"/>
    <w:link w:val="77"/>
    <w:qFormat/>
    <w:uiPriority w:val="0"/>
    <w:rPr>
      <w:rFonts w:ascii="仿宋_GB2312" w:hAnsi="宋体" w:eastAsia="仿宋_GB2312"/>
      <w:kern w:val="30"/>
      <w:sz w:val="28"/>
      <w:szCs w:val="30"/>
    </w:rPr>
  </w:style>
  <w:style w:type="paragraph" w:customStyle="1" w:styleId="458">
    <w:name w:val="5555"/>
    <w:basedOn w:val="1"/>
    <w:qFormat/>
    <w:uiPriority w:val="0"/>
    <w:pPr>
      <w:spacing w:line="360" w:lineRule="auto"/>
      <w:ind w:firstLine="560" w:firstLineChars="200"/>
    </w:pPr>
    <w:rPr>
      <w:rFonts w:cs="宋体"/>
      <w:sz w:val="24"/>
      <w:szCs w:val="20"/>
    </w:rPr>
  </w:style>
  <w:style w:type="paragraph" w:styleId="459">
    <w:name w:val="No Spacing"/>
    <w:link w:val="460"/>
    <w:qFormat/>
    <w:uiPriority w:val="1"/>
    <w:rPr>
      <w:rFonts w:asciiTheme="minorHAnsi" w:hAnsiTheme="minorHAnsi" w:eastAsiaTheme="minorEastAsia" w:cstheme="minorBidi"/>
      <w:sz w:val="22"/>
      <w:szCs w:val="22"/>
      <w:lang w:val="en-US" w:eastAsia="zh-CN" w:bidi="ar-SA"/>
    </w:rPr>
  </w:style>
  <w:style w:type="character" w:customStyle="1" w:styleId="460">
    <w:name w:val="无间隔 Char"/>
    <w:basedOn w:val="50"/>
    <w:link w:val="459"/>
    <w:qFormat/>
    <w:uiPriority w:val="1"/>
    <w:rPr>
      <w:rFonts w:asciiTheme="minorHAnsi" w:hAnsiTheme="minorHAnsi" w:eastAsiaTheme="minorEastAsia" w:cstheme="minorBidi"/>
      <w:sz w:val="22"/>
      <w:szCs w:val="22"/>
    </w:rPr>
  </w:style>
  <w:style w:type="paragraph" w:customStyle="1" w:styleId="461">
    <w:name w:val="普洱正文"/>
    <w:basedOn w:val="1"/>
    <w:qFormat/>
    <w:uiPriority w:val="0"/>
    <w:pPr>
      <w:spacing w:line="500" w:lineRule="exact"/>
      <w:ind w:firstLine="504" w:firstLineChars="200"/>
      <w:jc w:val="left"/>
    </w:pPr>
    <w:rPr>
      <w:rFonts w:ascii="宋体" w:hAnsi="宋体"/>
      <w:color w:val="000000"/>
      <w:spacing w:val="6"/>
      <w:sz w:val="24"/>
    </w:rPr>
  </w:style>
  <w:style w:type="character" w:customStyle="1" w:styleId="462">
    <w:name w:val="表格名 Char"/>
    <w:link w:val="463"/>
    <w:qFormat/>
    <w:uiPriority w:val="0"/>
    <w:rPr>
      <w:b/>
      <w:iCs/>
      <w:sz w:val="24"/>
      <w:lang w:val="zh-CN"/>
    </w:rPr>
  </w:style>
  <w:style w:type="paragraph" w:customStyle="1" w:styleId="463">
    <w:name w:val="表格名"/>
    <w:basedOn w:val="450"/>
    <w:next w:val="1"/>
    <w:link w:val="462"/>
    <w:qFormat/>
    <w:uiPriority w:val="0"/>
    <w:pPr>
      <w:suppressAutoHyphens/>
      <w:wordWrap w:val="0"/>
      <w:topLinePunct/>
      <w:spacing w:line="480" w:lineRule="exact"/>
      <w:ind w:firstLine="470" w:firstLineChars="0"/>
      <w:contextualSpacing/>
      <w:jc w:val="center"/>
    </w:pPr>
    <w:rPr>
      <w:b/>
      <w:iCs/>
      <w:kern w:val="0"/>
      <w:sz w:val="24"/>
      <w:szCs w:val="20"/>
      <w:lang w:val="zh-CN"/>
    </w:rPr>
  </w:style>
  <w:style w:type="character" w:customStyle="1" w:styleId="464">
    <w:name w:val="表格2 Char"/>
    <w:link w:val="465"/>
    <w:qFormat/>
    <w:uiPriority w:val="0"/>
    <w:rPr>
      <w:sz w:val="21"/>
      <w:szCs w:val="18"/>
    </w:rPr>
  </w:style>
  <w:style w:type="paragraph" w:customStyle="1" w:styleId="465">
    <w:name w:val="表格2"/>
    <w:basedOn w:val="1"/>
    <w:link w:val="464"/>
    <w:qFormat/>
    <w:uiPriority w:val="0"/>
    <w:pPr>
      <w:widowControl/>
      <w:suppressAutoHyphens/>
      <w:wordWrap w:val="0"/>
      <w:topLinePunct/>
      <w:contextualSpacing/>
      <w:jc w:val="center"/>
    </w:pPr>
    <w:rPr>
      <w:kern w:val="0"/>
      <w:szCs w:val="18"/>
    </w:rPr>
  </w:style>
  <w:style w:type="paragraph" w:customStyle="1" w:styleId="4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7">
    <w:name w:val="图表头"/>
    <w:basedOn w:val="1"/>
    <w:qFormat/>
    <w:uiPriority w:val="0"/>
    <w:pPr>
      <w:adjustRightInd w:val="0"/>
      <w:spacing w:line="360" w:lineRule="auto"/>
      <w:jc w:val="center"/>
      <w:textAlignment w:val="baseline"/>
    </w:pPr>
    <w:rPr>
      <w:rFonts w:ascii="黑体" w:eastAsia="黑体"/>
      <w:spacing w:val="5"/>
      <w:kern w:val="0"/>
    </w:rPr>
  </w:style>
  <w:style w:type="paragraph" w:customStyle="1" w:styleId="468">
    <w:name w:val="B2E092F9785A484FA3FE7227E5CD88F4"/>
    <w:qFormat/>
    <w:uiPriority w:val="0"/>
    <w:pPr>
      <w:spacing w:after="200" w:line="276" w:lineRule="auto"/>
    </w:pPr>
    <w:rPr>
      <w:rFonts w:asciiTheme="minorHAnsi" w:hAnsiTheme="minorHAnsi" w:eastAsiaTheme="minorEastAsia" w:cstheme="minorBidi"/>
      <w:sz w:val="22"/>
      <w:szCs w:val="22"/>
      <w:lang w:val="en-US" w:eastAsia="zh-CN" w:bidi="ar-SA"/>
    </w:rPr>
  </w:style>
  <w:style w:type="character" w:customStyle="1" w:styleId="469">
    <w:name w:val="Char Char11"/>
    <w:qFormat/>
    <w:uiPriority w:val="0"/>
    <w:rPr>
      <w:rFonts w:ascii="Times New Roman" w:hAnsi="Times New Roman"/>
      <w:sz w:val="24"/>
      <w:szCs w:val="24"/>
    </w:rPr>
  </w:style>
  <w:style w:type="character" w:customStyle="1" w:styleId="470">
    <w:name w:val="Char Char12"/>
    <w:qFormat/>
    <w:uiPriority w:val="0"/>
    <w:rPr>
      <w:rFonts w:ascii="Times New Roman" w:hAnsi="Times New Roman"/>
      <w:sz w:val="24"/>
      <w:szCs w:val="24"/>
    </w:rPr>
  </w:style>
  <w:style w:type="paragraph" w:customStyle="1" w:styleId="471">
    <w:name w:val="Char Char Char Char2"/>
    <w:basedOn w:val="1"/>
    <w:qFormat/>
    <w:uiPriority w:val="0"/>
    <w:pPr>
      <w:adjustRightInd w:val="0"/>
      <w:spacing w:line="360" w:lineRule="atLeast"/>
      <w:ind w:firstLine="200" w:firstLineChars="200"/>
      <w:textAlignment w:val="baseline"/>
    </w:pPr>
    <w:rPr>
      <w:rFonts w:ascii="Tahoma" w:hAnsi="Tahoma"/>
      <w:sz w:val="24"/>
      <w:szCs w:val="20"/>
    </w:rPr>
  </w:style>
  <w:style w:type="paragraph" w:customStyle="1" w:styleId="472">
    <w:name w:val="表标题"/>
    <w:basedOn w:val="473"/>
    <w:qFormat/>
    <w:uiPriority w:val="0"/>
    <w:pPr>
      <w:snapToGrid/>
      <w:spacing w:line="360" w:lineRule="auto"/>
      <w:ind w:firstLine="482" w:firstLineChars="200"/>
      <w:jc w:val="center"/>
    </w:pPr>
    <w:rPr>
      <w:rFonts w:hAnsi="宋体"/>
      <w:b/>
      <w:bCs w:val="0"/>
      <w:sz w:val="24"/>
      <w:szCs w:val="30"/>
    </w:rPr>
  </w:style>
  <w:style w:type="paragraph" w:customStyle="1" w:styleId="473">
    <w:name w:val="正文-欣欣"/>
    <w:basedOn w:val="1"/>
    <w:next w:val="1"/>
    <w:qFormat/>
    <w:uiPriority w:val="0"/>
    <w:pPr>
      <w:spacing w:line="240" w:lineRule="auto"/>
      <w:ind w:firstLine="0" w:firstLineChars="0"/>
    </w:pPr>
    <w:rPr>
      <w:rFonts w:hAnsi="Times New Roman"/>
      <w:bCs/>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15&#24180;&#24037;&#20316;\&#40857;&#20852;&#22365;\&#40857;&#20852;&#22365;&#27700;&#24211;&#24037;&#31243;&#27700;&#22303;&#20445;&#25345;&#26041;&#26696;&#25253;&#21578;&#20070;&#65288;&#25253;&#25209;&#31295;)&#32456;%20-%20&#21103;&#2641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51"/>
    <customShpInfo spid="_x0000_s2052"/>
    <customShpInfo spid="_x0000_s2053"/>
    <customShpInfo spid="_x0000_s2054"/>
    <customShpInfo spid="_x0000_s2055"/>
    <customShpInfo spid="_x0000_s2076"/>
    <customShpInfo spid="_x0000_s2077"/>
    <customShpInfo spid="_x0000_s2071"/>
    <customShpInfo spid="_x0000_s2081"/>
    <customShpInfo spid="_x0000_s2078"/>
    <customShpInfo spid="_x0000_s2082"/>
    <customShpInfo spid="_x0000_s2079"/>
    <customShpInfo spid="_x0000_s2080"/>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57"/>
    <customShpInfo spid="_x0000_s2068"/>
    <customShpInfo spid="_x0000_s205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549A3B-5168-4F30-B782-08AEB59E6995}">
  <ds:schemaRefs/>
</ds:datastoreItem>
</file>

<file path=docProps/app.xml><?xml version="1.0" encoding="utf-8"?>
<Properties xmlns="http://schemas.openxmlformats.org/officeDocument/2006/extended-properties" xmlns:vt="http://schemas.openxmlformats.org/officeDocument/2006/docPropsVTypes">
  <Template>龙兴坝水库工程水土保持方案报告书（报批稿)终 - 副本.dot</Template>
  <Company>Microsoft</Company>
  <Pages>40</Pages>
  <Words>4229</Words>
  <Characters>24108</Characters>
  <Lines>200</Lines>
  <Paragraphs>56</Paragraphs>
  <TotalTime>0</TotalTime>
  <ScaleCrop>false</ScaleCrop>
  <LinksUpToDate>false</LinksUpToDate>
  <CharactersWithSpaces>28281</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2017-10-19T03:01:00Z</dcterms:created>
  <dc:creator>微软用户</dc:creator>
  <cp:lastModifiedBy>San Junipero</cp:lastModifiedBy>
  <cp:lastPrinted>2016-07-21T09:21:00Z</cp:lastPrinted>
  <dcterms:modified xsi:type="dcterms:W3CDTF">2019-03-18T01:03:58Z</dcterms:modified>
  <dc:subject>龙兴坝水保方案</dc:subject>
  <dc:title>黄河勘测规划设计有限公司</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